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rPr/>
      </w:pPr>
      <w:r>
        <w:rPr/>
        <w:drawing>
          <wp:inline distB="0" distL="0" distR="0" distT="0">
            <wp:extent cx="670560" cy="617220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center"/>
        <w:rPr>
          <w:rFonts w:ascii="Calibri" w:cs="Arial" w:hAnsi="Calibri"/>
          <w:b/>
          <w:i w:val="false"/>
          <w:iCs w:val="false"/>
          <w:color w:val="000000"/>
          <w:sz w:val="22"/>
          <w:szCs w:val="22"/>
        </w:rPr>
      </w:pPr>
      <w:r>
        <w:rPr>
          <w:rFonts w:ascii="Calibri" w:cs="Arial" w:hAnsi="Calibri"/>
          <w:b/>
          <w:i w:val="false"/>
          <w:iCs w:val="false"/>
          <w:color w:val="000000"/>
          <w:sz w:val="22"/>
          <w:szCs w:val="22"/>
        </w:rPr>
        <w:t>SERVIÇO PÚBLICO FEDERAL</w:t>
      </w:r>
    </w:p>
    <w:p>
      <w:pPr>
        <w:pStyle w:val="style0"/>
        <w:jc w:val="center"/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  <w:t xml:space="preserve">INSTITUTO FEDERAL DE EDUCAÇÃO, CIÊNCIA E TECNOLOGIA DE MATO GROSSO </w:t>
      </w:r>
    </w:p>
    <w:p>
      <w:pPr>
        <w:pStyle w:val="style0"/>
        <w:ind w:hanging="0" w:left="0" w:right="-17"/>
        <w:jc w:val="center"/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  <w:t>CAMPUS SÃO VICENTE</w:t>
      </w:r>
    </w:p>
    <w:p>
      <w:pPr>
        <w:pStyle w:val="style0"/>
        <w:jc w:val="center"/>
        <w:rPr/>
      </w:pPr>
      <w:r>
        <w:rPr/>
      </w:r>
    </w:p>
    <w:p>
      <w:pPr>
        <w:pStyle w:val="style0"/>
        <w:jc w:val="center"/>
        <w:rPr/>
      </w:pPr>
      <w:r>
        <w:rPr/>
      </w:r>
    </w:p>
    <w:p>
      <w:pPr>
        <w:pStyle w:val="style0"/>
        <w:jc w:val="center"/>
        <w:rPr>
          <w:b/>
          <w:bCs/>
        </w:rPr>
      </w:pPr>
      <w:r>
        <w:rPr>
          <w:b/>
          <w:bCs/>
        </w:rPr>
        <w:t>ANEXO II</w:t>
      </w:r>
    </w:p>
    <w:p>
      <w:pPr>
        <w:pStyle w:val="style0"/>
        <w:jc w:val="center"/>
        <w:rPr>
          <w:rFonts w:ascii="Arial" w:cs="Arial" w:hAnsi="Arial"/>
          <w:bCs/>
          <w:sz w:val="20"/>
          <w:szCs w:val="20"/>
        </w:rPr>
      </w:pPr>
      <w:r>
        <w:rPr>
          <w:rFonts w:ascii="Arial" w:cs="Arial" w:hAnsi="Arial"/>
          <w:b/>
          <w:bCs/>
          <w:iCs/>
          <w:color w:val="000000"/>
          <w:sz w:val="20"/>
          <w:szCs w:val="20"/>
        </w:rPr>
        <w:t xml:space="preserve">ATA DE REGISTRO DE PREÇOS </w:t>
      </w:r>
      <w:r>
        <w:rPr>
          <w:rFonts w:ascii="Arial" w:cs="Arial" w:hAnsi="Arial"/>
          <w:bCs/>
          <w:sz w:val="20"/>
          <w:szCs w:val="20"/>
        </w:rPr>
        <w:t>N.º .........</w:t>
      </w:r>
    </w:p>
    <w:p>
      <w:pPr>
        <w:pStyle w:val="style0"/>
        <w:widowControl w:val="false"/>
        <w:ind w:hanging="0" w:left="0" w:right="-30"/>
        <w:jc w:val="both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</w:r>
    </w:p>
    <w:p>
      <w:pPr>
        <w:pStyle w:val="style0"/>
        <w:widowControl w:val="false"/>
        <w:tabs>
          <w:tab w:leader="none" w:pos="4779" w:val="center"/>
          <w:tab w:leader="none" w:pos="9198" w:val="right"/>
        </w:tabs>
        <w:ind w:hanging="0" w:left="0" w:right="-28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  <w:t xml:space="preserve">O </w:t>
      </w:r>
      <w:r>
        <w:rPr>
          <w:rFonts w:ascii="Calibri" w:cs="Arial" w:hAnsi="Calibri"/>
          <w:b/>
          <w:sz w:val="22"/>
          <w:szCs w:val="22"/>
        </w:rPr>
        <w:t>INSTITUTO FEDERAL DE EDUCAÇÃO, CIÊNCIA E TECNOLOGIA DE MATO GROSSO – CAMPUS SÃO VICENTE / IFMT – Campus São Vicente</w:t>
      </w:r>
      <w:r>
        <w:rPr>
          <w:rFonts w:ascii="Calibri" w:cs="Arial" w:hAnsi="Calibri"/>
          <w:sz w:val="22"/>
          <w:szCs w:val="22"/>
        </w:rPr>
        <w:t>, autarquia federal vinculada ao Ministério da Educação, com sede à rodovia BR 364, Km 329, CEP 78.106-970, Vila de São Vicente da Serra – Santo Antônio do Leverger-MT, inscrito no CNPJ n</w:t>
      </w:r>
      <w:r>
        <w:rPr>
          <w:rFonts w:ascii="Calibri" w:cs="Arial" w:hAnsi="Calibri"/>
          <w:sz w:val="22"/>
          <w:szCs w:val="22"/>
          <w:u w:val="single"/>
          <w:vertAlign w:val="superscript"/>
        </w:rPr>
        <w:t>o</w:t>
      </w:r>
      <w:r>
        <w:rPr>
          <w:rFonts w:ascii="Calibri" w:cs="Arial" w:hAnsi="Calibri"/>
          <w:sz w:val="22"/>
          <w:szCs w:val="22"/>
        </w:rPr>
        <w:t xml:space="preserve"> 10.784.782/0005-84, neste ato representado seu Diretor-Geral</w:t>
      </w:r>
      <w:r>
        <w:rPr>
          <w:rFonts w:ascii="Calibri" w:cs="Arial" w:hAnsi="Calibri"/>
          <w:b w:val="false"/>
          <w:bCs w:val="false"/>
          <w:sz w:val="22"/>
          <w:szCs w:val="22"/>
        </w:rPr>
        <w:t xml:space="preserve">, </w:t>
      </w:r>
      <w:r>
        <w:rPr>
          <w:rFonts w:ascii="Calibri" w:cs="Arial" w:hAnsi="Calibri"/>
          <w:b/>
          <w:bCs w:val="false"/>
          <w:sz w:val="22"/>
          <w:szCs w:val="22"/>
        </w:rPr>
        <w:t>Professor José Luiz de Siqueira</w:t>
      </w:r>
      <w:r>
        <w:rPr>
          <w:rFonts w:ascii="Calibri" w:cs="Arial" w:hAnsi="Calibri"/>
          <w:b w:val="false"/>
          <w:bCs w:val="false"/>
          <w:sz w:val="22"/>
          <w:szCs w:val="22"/>
        </w:rPr>
        <w:t>, brasileiro, casado, residente e domiciliado na Av. Minuano, Res. São Conrado, nº 165, Bairro Jardim Bom Clima – CEP 78.0482-23, Cuiabá-MT, portador da Carteira de Identidade n</w:t>
      </w:r>
      <w:r>
        <w:rPr>
          <w:rFonts w:ascii="Calibri" w:cs="Arial" w:hAnsi="Calibri"/>
          <w:b w:val="false"/>
          <w:bCs w:val="false"/>
          <w:sz w:val="22"/>
          <w:szCs w:val="22"/>
          <w:vertAlign w:val="superscript"/>
        </w:rPr>
        <w:t>o</w:t>
      </w:r>
      <w:r>
        <w:rPr>
          <w:rFonts w:ascii="Calibri" w:cs="Arial" w:hAnsi="Calibri"/>
          <w:b w:val="false"/>
          <w:bCs w:val="false"/>
          <w:sz w:val="22"/>
          <w:szCs w:val="22"/>
        </w:rPr>
        <w:t xml:space="preserve"> 296084 SSP-MT, CPF nº 283.846.871-53</w:t>
      </w:r>
      <w:r>
        <w:rPr>
          <w:rFonts w:ascii="Calibri" w:cs="Arial" w:hAnsi="Calibri"/>
          <w:sz w:val="22"/>
          <w:szCs w:val="22"/>
        </w:rPr>
        <w:t xml:space="preserve">, no pleno exercício de suas atribuições legais e regulamentares, designado através da Portaria do Reitor do Instituto Federal de Educação, Ciência e Tecnologia de Mato Grosso, nº 630-VI de 18/04/2013, publicada no DOU de 19/04/2013, considerando o julgamento da licitação na modalidade de pregão, na forma </w:t>
      </w:r>
      <w:r>
        <w:rPr>
          <w:rFonts w:ascii="Calibri" w:cs="Arial" w:hAnsi="Calibri"/>
          <w:iCs/>
          <w:sz w:val="22"/>
          <w:szCs w:val="22"/>
        </w:rPr>
        <w:t>eletrônica</w:t>
      </w:r>
      <w:r>
        <w:rPr>
          <w:rFonts w:ascii="Calibri" w:cs="Arial" w:hAnsi="Calibri"/>
          <w:sz w:val="22"/>
          <w:szCs w:val="22"/>
        </w:rPr>
        <w:t xml:space="preserve">, para REGISTRO DE PREÇOS nº </w:t>
      </w:r>
      <w:r>
        <w:rPr>
          <w:rFonts w:ascii="Calibri" w:cs="Arial" w:hAnsi="Calibri"/>
          <w:sz w:val="22"/>
          <w:szCs w:val="22"/>
        </w:rPr>
        <w:t>08/2017</w:t>
      </w:r>
      <w:r>
        <w:rPr>
          <w:rFonts w:ascii="Calibri" w:cs="Arial" w:hAnsi="Calibri"/>
          <w:sz w:val="22"/>
          <w:szCs w:val="22"/>
        </w:rPr>
        <w:t xml:space="preserve">, publicada no ...... de ...../...../200....., processo administrativo n.º 23197.031678.2016-55,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>
        <w:rPr>
          <w:rFonts w:ascii="Calibri" w:cs="Arial" w:hAnsi="Calibri"/>
          <w:iCs/>
          <w:sz w:val="22"/>
          <w:szCs w:val="22"/>
        </w:rPr>
        <w:t>Decreto n.º 7.892, de 23 de janeiro de 2013,</w:t>
      </w:r>
      <w:r>
        <w:rPr>
          <w:rFonts w:ascii="Calibri" w:cs="Arial" w:hAnsi="Calibri"/>
          <w:sz w:val="22"/>
          <w:szCs w:val="22"/>
        </w:rPr>
        <w:t xml:space="preserve"> e em conformidade com as disposições a seguir:</w:t>
      </w:r>
    </w:p>
    <w:p>
      <w:pPr>
        <w:pStyle w:val="style0"/>
        <w:widowControl w:val="false"/>
        <w:tabs>
          <w:tab w:leader="none" w:pos="4779" w:val="center"/>
          <w:tab w:leader="none" w:pos="9198" w:val="right"/>
        </w:tabs>
        <w:ind w:hanging="0" w:left="0" w:right="-28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</w:r>
    </w:p>
    <w:p>
      <w:pPr>
        <w:pStyle w:val="style0"/>
        <w:numPr>
          <w:ilvl w:val="0"/>
          <w:numId w:val="1"/>
        </w:numPr>
        <w:spacing w:after="120" w:before="120" w:line="276" w:lineRule="auto"/>
        <w:ind w:hanging="360" w:left="360" w:right="0"/>
        <w:contextualSpacing w:val="false"/>
        <w:jc w:val="both"/>
        <w:rPr>
          <w:rFonts w:ascii="Calibri" w:cs="Arial" w:hAnsi="Calibri"/>
          <w:b/>
          <w:bCs/>
          <w:sz w:val="22"/>
          <w:szCs w:val="22"/>
        </w:rPr>
      </w:pPr>
      <w:r>
        <w:rPr>
          <w:rFonts w:ascii="Calibri" w:cs="Arial" w:hAnsi="Calibri"/>
          <w:b/>
          <w:bCs/>
          <w:sz w:val="22"/>
          <w:szCs w:val="22"/>
        </w:rPr>
        <w:t>DO OBJETO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contextualSpacing w:val="false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  <w:t xml:space="preserve">A presente Ata tem por objeto o registro de preços para a eventual </w:t>
      </w:r>
      <w:r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  <w:t>AQUISIÇÃO DE FERRAMENTARIA</w:t>
      </w:r>
      <w:r>
        <w:rPr>
          <w:rFonts w:ascii="Calibri" w:cs="Arial" w:hAnsi="Calibri"/>
          <w:sz w:val="22"/>
          <w:szCs w:val="22"/>
        </w:rPr>
        <w:t xml:space="preserve">, especificado(s) no(s) item(ns).......... do .......... Termo de Referência, anexo I do edital de </w:t>
      </w:r>
      <w:r>
        <w:rPr>
          <w:rFonts w:ascii="Calibri" w:cs="Arial" w:hAnsi="Calibri"/>
          <w:i/>
          <w:sz w:val="22"/>
          <w:szCs w:val="22"/>
        </w:rPr>
        <w:t>Pregão</w:t>
      </w:r>
      <w:r>
        <w:rPr>
          <w:rFonts w:ascii="Calibri" w:cs="Arial" w:hAnsi="Calibri"/>
          <w:sz w:val="22"/>
          <w:szCs w:val="22"/>
        </w:rPr>
        <w:t xml:space="preserve"> nº </w:t>
      </w:r>
      <w:r>
        <w:rPr>
          <w:rFonts w:ascii="Calibri" w:cs="Arial" w:hAnsi="Calibri"/>
          <w:sz w:val="22"/>
          <w:szCs w:val="22"/>
        </w:rPr>
        <w:t>08/2017</w:t>
      </w:r>
      <w:r>
        <w:rPr>
          <w:rFonts w:ascii="Calibri" w:cs="Arial" w:hAnsi="Calibri"/>
          <w:sz w:val="22"/>
          <w:szCs w:val="22"/>
        </w:rPr>
        <w:t>, que é parte integrante desta Ata, assim como a proposta vencedora, independentemente de transcrição.</w:t>
      </w:r>
    </w:p>
    <w:p>
      <w:pPr>
        <w:pStyle w:val="style0"/>
        <w:widowControl w:val="false"/>
        <w:ind w:hanging="0" w:left="792" w:right="0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</w:r>
    </w:p>
    <w:p>
      <w:pPr>
        <w:pStyle w:val="style0"/>
        <w:numPr>
          <w:ilvl w:val="0"/>
          <w:numId w:val="1"/>
        </w:numPr>
        <w:spacing w:after="120" w:before="120" w:line="276" w:lineRule="auto"/>
        <w:ind w:hanging="360" w:left="360" w:right="0"/>
        <w:contextualSpacing w:val="false"/>
        <w:jc w:val="both"/>
        <w:rPr>
          <w:rFonts w:ascii="Calibri" w:cs="Arial" w:hAnsi="Calibri"/>
          <w:b/>
          <w:bCs/>
          <w:sz w:val="22"/>
          <w:szCs w:val="22"/>
        </w:rPr>
      </w:pPr>
      <w:r>
        <w:rPr>
          <w:rFonts w:ascii="Calibri" w:cs="Arial" w:hAnsi="Calibri"/>
          <w:b/>
          <w:bCs/>
          <w:sz w:val="22"/>
          <w:szCs w:val="22"/>
        </w:rPr>
        <w:t>DOS PREÇOS, ESPECIFICAÇÕES E QUANTITATIVOS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  <w:t xml:space="preserve">O preço registrado, as especificações do objeto, a quantidade, fornecedor(es) e as demais condições ofertadas na(s) proposta(s) são as que seguem: </w:t>
      </w:r>
    </w:p>
    <w:p>
      <w:pPr>
        <w:pStyle w:val="style0"/>
        <w:spacing w:after="120" w:before="120" w:line="276" w:lineRule="auto"/>
        <w:ind w:hanging="432" w:left="425" w:right="0"/>
        <w:contextualSpacing w:val="false"/>
        <w:jc w:val="both"/>
        <w:rPr/>
      </w:pPr>
      <w:r>
        <w:rPr/>
      </w:r>
    </w:p>
    <w:tbl>
      <w:tblPr>
        <w:jc w:val="left"/>
        <w:tblInd w:type="dxa" w:w="41"/>
        <w:tblBorders>
          <w:top w:color="000001" w:space="0" w:sz="2" w:val="single"/>
          <w:left w:color="000001" w:space="0" w:sz="2" w:val="single"/>
          <w:bottom w:color="000001" w:space="0" w:sz="2" w:val="single"/>
          <w:insideH w:color="000001" w:space="0" w:sz="2" w:val="single"/>
          <w:right w:val="nil"/>
          <w:insideV w:val="nil"/>
        </w:tblBorders>
        <w:tblCellMar>
          <w:top w:type="dxa" w:w="55"/>
          <w:left w:type="dxa" w:w="36"/>
          <w:bottom w:type="dxa" w:w="55"/>
          <w:right w:type="dxa" w:w="55"/>
        </w:tblCellMar>
      </w:tblPr>
      <w:tblGrid>
        <w:gridCol w:w="590"/>
        <w:gridCol w:w="983"/>
        <w:gridCol w:w="563"/>
        <w:gridCol w:w="680"/>
        <w:gridCol w:w="3198"/>
        <w:gridCol w:w="974"/>
        <w:gridCol w:w="1313"/>
        <w:gridCol w:w="770"/>
      </w:tblGrid>
      <w:tr>
        <w:trPr>
          <w:trHeight w:hRule="atLeast" w:val="420"/>
          <w:cantSplit w:val="false"/>
        </w:trPr>
        <w:tc>
          <w:tcPr>
            <w:tcW w:type="dxa" w:w="590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36"/>
            </w:tcMar>
            <w:vAlign w:val="center"/>
          </w:tcPr>
          <w:p>
            <w:pPr>
              <w:pStyle w:val="style47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type="dxa" w:w="983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36"/>
            </w:tcMar>
            <w:vAlign w:val="center"/>
          </w:tcPr>
          <w:p>
            <w:pPr>
              <w:pStyle w:val="style47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CATMAT</w:t>
            </w:r>
          </w:p>
        </w:tc>
        <w:tc>
          <w:tcPr>
            <w:tcW w:type="dxa" w:w="563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36"/>
            </w:tcMar>
            <w:vAlign w:val="center"/>
          </w:tcPr>
          <w:p>
            <w:pPr>
              <w:pStyle w:val="style47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Unid.</w:t>
            </w:r>
          </w:p>
        </w:tc>
        <w:tc>
          <w:tcPr>
            <w:tcW w:type="dxa" w:w="680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36"/>
            </w:tcMar>
            <w:vAlign w:val="center"/>
          </w:tcPr>
          <w:p>
            <w:pPr>
              <w:pStyle w:val="style47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Quant</w:t>
            </w:r>
          </w:p>
        </w:tc>
        <w:tc>
          <w:tcPr>
            <w:tcW w:type="dxa" w:w="3198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36"/>
            </w:tcMar>
            <w:vAlign w:val="center"/>
          </w:tcPr>
          <w:p>
            <w:pPr>
              <w:pStyle w:val="style47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Especificação Detalhada</w:t>
            </w:r>
          </w:p>
        </w:tc>
        <w:tc>
          <w:tcPr>
            <w:tcW w:type="dxa" w:w="974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36"/>
            </w:tcMar>
            <w:vAlign w:val="center"/>
          </w:tcPr>
          <w:p>
            <w:pPr>
              <w:pStyle w:val="style47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V. Unit.</w:t>
            </w:r>
          </w:p>
        </w:tc>
        <w:tc>
          <w:tcPr>
            <w:tcW w:type="dxa" w:w="1313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36"/>
            </w:tcMar>
            <w:vAlign w:val="center"/>
          </w:tcPr>
          <w:p>
            <w:pPr>
              <w:pStyle w:val="style47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V. Total</w:t>
            </w:r>
          </w:p>
        </w:tc>
        <w:tc>
          <w:tcPr>
            <w:tcW w:type="dxa" w:w="770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CCCCCC" w:val="clear"/>
            <w:tcMar>
              <w:left w:type="dxa" w:w="36"/>
            </w:tcMar>
            <w:vAlign w:val="center"/>
          </w:tcPr>
          <w:p>
            <w:pPr>
              <w:pStyle w:val="style47"/>
              <w:jc w:val="center"/>
              <w:rPr>
                <w:rFonts w:ascii="Liberation Serif" w:hAnsi="Liberation Serif"/>
                <w:b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Margem de Preferência</w:t>
            </w:r>
          </w:p>
        </w:tc>
      </w:tr>
      <w:tr>
        <w:trPr>
          <w:cantSplit w:val="false"/>
        </w:trPr>
        <w:tc>
          <w:tcPr>
            <w:tcW w:type="dxa" w:w="59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type="dxa" w:w="98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150027</w:t>
            </w:r>
          </w:p>
        </w:tc>
        <w:tc>
          <w:tcPr>
            <w:tcW w:type="dxa" w:w="56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Unid</w:t>
            </w:r>
          </w:p>
        </w:tc>
        <w:tc>
          <w:tcPr>
            <w:tcW w:type="dxa" w:w="68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112</w:t>
            </w:r>
          </w:p>
        </w:tc>
        <w:tc>
          <w:tcPr>
            <w:tcW w:type="dxa" w:w="319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ALICATE DE CORTE, Na Seguinte Especificação: - Alicate De Corte Diagonal; - Tamanho De 6 Polegadas; - Com Cabos Emborrachados; - Com Isolação De Até 1000 Volts; - Aplicação Em: Manutenção De Fios, Cabos Ou Chicotes De Equipamentos Elétricos E Eletrônicos.</w:t>
            </w:r>
          </w:p>
        </w:tc>
        <w:tc>
          <w:tcPr>
            <w:tcW w:type="dxa" w:w="97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31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770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9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type="dxa" w:w="98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234766</w:t>
            </w:r>
          </w:p>
        </w:tc>
        <w:tc>
          <w:tcPr>
            <w:tcW w:type="dxa" w:w="56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Unid</w:t>
            </w:r>
          </w:p>
        </w:tc>
        <w:tc>
          <w:tcPr>
            <w:tcW w:type="dxa" w:w="68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259</w:t>
            </w:r>
          </w:p>
        </w:tc>
        <w:tc>
          <w:tcPr>
            <w:tcW w:type="dxa" w:w="319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ALICATE DE CRIMPAR, com catraca. Para conector RJ 45. Para cortar, decapar e crimpar cabos dos tipos RJ11, RJ12 e RJ45 </w:t>
            </w:r>
          </w:p>
        </w:tc>
        <w:tc>
          <w:tcPr>
            <w:tcW w:type="dxa" w:w="97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31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770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9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type="dxa" w:w="98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150027</w:t>
            </w:r>
          </w:p>
        </w:tc>
        <w:tc>
          <w:tcPr>
            <w:tcW w:type="dxa" w:w="56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Unid</w:t>
            </w:r>
          </w:p>
        </w:tc>
        <w:tc>
          <w:tcPr>
            <w:tcW w:type="dxa" w:w="68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56</w:t>
            </w:r>
          </w:p>
        </w:tc>
        <w:tc>
          <w:tcPr>
            <w:tcW w:type="dxa" w:w="319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ALICATE DE FRENO 6 polegadas, fabricado em aço cromo-vanádio</w:t>
            </w:r>
          </w:p>
        </w:tc>
        <w:tc>
          <w:tcPr>
            <w:tcW w:type="dxa" w:w="97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31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770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9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type="dxa" w:w="98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235088</w:t>
            </w:r>
          </w:p>
        </w:tc>
        <w:tc>
          <w:tcPr>
            <w:tcW w:type="dxa" w:w="56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Unid</w:t>
            </w:r>
          </w:p>
        </w:tc>
        <w:tc>
          <w:tcPr>
            <w:tcW w:type="dxa" w:w="68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161</w:t>
            </w:r>
          </w:p>
        </w:tc>
        <w:tc>
          <w:tcPr>
            <w:tcW w:type="dxa" w:w="319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ALICATE DESCASCADOR/DECAPADOR para cabo de rede. Cor cinza.</w:t>
            </w:r>
          </w:p>
        </w:tc>
        <w:tc>
          <w:tcPr>
            <w:tcW w:type="dxa" w:w="97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31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770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9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type="dxa" w:w="98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150341</w:t>
            </w:r>
          </w:p>
        </w:tc>
        <w:tc>
          <w:tcPr>
            <w:tcW w:type="dxa" w:w="56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Unid</w:t>
            </w:r>
          </w:p>
        </w:tc>
        <w:tc>
          <w:tcPr>
            <w:tcW w:type="dxa" w:w="68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238</w:t>
            </w:r>
          </w:p>
        </w:tc>
        <w:tc>
          <w:tcPr>
            <w:tcW w:type="dxa" w:w="319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ANTI FERRUGEM - Frasco de Anti Ferrugem de 300 ml a base sintética biodegradável.</w:t>
            </w:r>
          </w:p>
        </w:tc>
        <w:tc>
          <w:tcPr>
            <w:tcW w:type="dxa" w:w="97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31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770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9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type="dxa" w:w="98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235074</w:t>
            </w:r>
          </w:p>
        </w:tc>
        <w:tc>
          <w:tcPr>
            <w:tcW w:type="dxa" w:w="56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Unid</w:t>
            </w:r>
          </w:p>
        </w:tc>
        <w:tc>
          <w:tcPr>
            <w:tcW w:type="dxa" w:w="68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263</w:t>
            </w:r>
          </w:p>
        </w:tc>
        <w:tc>
          <w:tcPr>
            <w:tcW w:type="dxa" w:w="319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ALICATE DE INSERÇÃO, aplicação inserção cabo utp em tomadas RJ-45 / patch-panel,  material cabo PVC rígido, características adicionais com seleção alto/baixo impacto. Características adicionais: Alicate de crimpar de inserção (Punch Down); utilizado para conectar cabos de rede em tomada RJ45 fêmea , Keystone , Jack , Patch Panel , Voice Panel; Possibilitar a conexão individual de condutores metálicos isolados em terminais de conexão padrão 110 IDC; Possuir dois níveis de impacto; Lâmina de inserção substituível; Material do corpo do produto: Termoplástico/Aço.</w:t>
            </w:r>
          </w:p>
        </w:tc>
        <w:tc>
          <w:tcPr>
            <w:tcW w:type="dxa" w:w="97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31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770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9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type="dxa" w:w="98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56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Unid</w:t>
            </w:r>
          </w:p>
        </w:tc>
        <w:tc>
          <w:tcPr>
            <w:tcW w:type="dxa" w:w="68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66</w:t>
            </w:r>
          </w:p>
        </w:tc>
        <w:tc>
          <w:tcPr>
            <w:tcW w:type="dxa" w:w="319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JOGO DE PONTAS BITS com adaptador para bit imantada e com cabo revestido de borracha, Com no mínimo de 30 Pontas Bits, que possua a seguintes pontas ( Bits fenda: 1 – 1,3 – 1,5 – 2 – 2,5 – 3 – 4 mm / Bits Philips: PH00  – PH0 – PH1 – PH2 / 01 Bit Tri-wing)</w:t>
            </w:r>
          </w:p>
        </w:tc>
        <w:tc>
          <w:tcPr>
            <w:tcW w:type="dxa" w:w="97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31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770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9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type="dxa" w:w="98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56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Unid</w:t>
            </w:r>
          </w:p>
        </w:tc>
        <w:tc>
          <w:tcPr>
            <w:tcW w:type="dxa" w:w="68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112</w:t>
            </w:r>
          </w:p>
        </w:tc>
        <w:tc>
          <w:tcPr>
            <w:tcW w:type="dxa" w:w="319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KIT BÁSICO DE FERRAMENTAS PARA INFORMÁTICA. Deve possuir as seguintes ferramentas: 1 Chave de Fenda 3/16, 1 Chave de Fenda 1/8, 1 Chave Philips #1, 1 Chave Philips #0, 1 Tubo de Acessórios e componentes, 1 Alicate de bico longo 5, 1 Chave de Torque T15, 1 Pinça, 1 Extrator de componentes c/ 3 garras, 1 Chave de Fenda Soquete 1/4, 1 Chave de Fenda 3/16, 1 Chave de Teste, 1 Estojo.</w:t>
            </w:r>
          </w:p>
        </w:tc>
        <w:tc>
          <w:tcPr>
            <w:tcW w:type="dxa" w:w="97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31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770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9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type="dxa" w:w="98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56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Unid</w:t>
            </w:r>
          </w:p>
        </w:tc>
        <w:tc>
          <w:tcPr>
            <w:tcW w:type="dxa" w:w="68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type="dxa" w:w="319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KIT LOCALIZADOR DE CABOS ZUMBIDOR Ponteira Indutiva + Estojo O  Localizador de cabos tem como função localizar e rastrear fios e cabos, dentro de uma estrutura onde haja diversos outros fios. Para ser usado em linhas telefônicas, cabos de rede, e outras aplicações. LOCALIZADOR DE CABOS KIT DE INJETOR DE SINAL E RECEPTOR   Tem como função localizar e rastrear fios e cabos dentro de um grupo.   Sem que a estrutura em que se encontram seja danificada. (não necessita decapar nenhum cabo, para fazer o teste) Possuir sinal sonoro e luminoso, quando localiza o cabo testado. Seu uso é indicado para auxiliar durante da instalação, manutenção e reparo de linhas telefônicas e sistemas de redes de dados. O kit é composto de um emissor e um receptor de sinal.  Executa a análise de continuidade e o rastreamento de fios e cabos. Acompanha Lanterna na extremidade aparelho Localizador de sinal, (auxiliando a visualização do mesmo, em locais escuros e de difícil acesso) Acompanhar : 2 baterias 9volts, Manual de instruções, Fone de Ouvido, Bolsa para transporte do Kit.</w:t>
            </w:r>
          </w:p>
        </w:tc>
        <w:tc>
          <w:tcPr>
            <w:tcW w:type="dxa" w:w="97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31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770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9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type="dxa" w:w="98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410257</w:t>
            </w:r>
          </w:p>
        </w:tc>
        <w:tc>
          <w:tcPr>
            <w:tcW w:type="dxa" w:w="56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Unid</w:t>
            </w:r>
          </w:p>
        </w:tc>
        <w:tc>
          <w:tcPr>
            <w:tcW w:type="dxa" w:w="68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230</w:t>
            </w:r>
          </w:p>
        </w:tc>
        <w:tc>
          <w:tcPr>
            <w:tcW w:type="dxa" w:w="319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LIMPA CONTATO - Frasco de Limpa Contato com 300 Ml/200g, sem solvente, indicado para limpeza de contatos.</w:t>
            </w:r>
          </w:p>
        </w:tc>
        <w:tc>
          <w:tcPr>
            <w:tcW w:type="dxa" w:w="97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31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770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9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</w:t>
            </w:r>
          </w:p>
        </w:tc>
        <w:tc>
          <w:tcPr>
            <w:tcW w:type="dxa" w:w="98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56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Unid</w:t>
            </w:r>
          </w:p>
        </w:tc>
        <w:tc>
          <w:tcPr>
            <w:tcW w:type="dxa" w:w="68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170</w:t>
            </w:r>
          </w:p>
        </w:tc>
        <w:tc>
          <w:tcPr>
            <w:tcW w:type="dxa" w:w="319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MULTÍMETRO DIGITAL Igual ou similar ao Multímetro Digital e Testador De Cabos Rede Tx 2500</w:t>
              <w:br/>
              <w:t>Características:</w:t>
              <w:br/>
              <w:t xml:space="preserve"> - Multímetro Digital e Testador de Cabos</w:t>
              <w:br/>
              <w:t>- Tensão AC/DC 20mV até 600V</w:t>
              <w:br/>
              <w:t>- Corrente AC/DC 200uA até 10A</w:t>
              <w:br/>
              <w:t>- Resistência até 20MΩ</w:t>
              <w:br/>
              <w:t>- Testa linha telefônica RJ11 e RJ12</w:t>
              <w:br/>
              <w:t>- Testa cabo de rede RJ 45 padrões 568A 568B, 10 base-T</w:t>
              <w:br/>
              <w:t>- Testa cabo USB, Mini-USB</w:t>
              <w:br/>
              <w:t xml:space="preserve">- Testa Cabo USB </w:t>
              <w:br/>
              <w:t>- Teste de continuidade</w:t>
              <w:br/>
              <w:t xml:space="preserve">- Display com iluminação </w:t>
              <w:br/>
              <w:t>Especificações Técnicas:</w:t>
              <w:br/>
              <w:t>- Display: LCD, atualização de contagem 2 por segundo</w:t>
              <w:br/>
              <w:t>- Indicação de polaridade: mostrado automaticamente</w:t>
              <w:br/>
              <w:t>- Indicação de Over-range: Exibe apenas "1"</w:t>
              <w:br/>
              <w:t>- Indicação de Bateria Baixa: Exibe simbolo de bateria baixa</w:t>
              <w:br/>
              <w:t>- Temperatura de Operação: 0 até 40C, menos de 75% de umidade</w:t>
              <w:br/>
              <w:t>- Temperatura de Armazenamento: -10 até 50C, menos de 85% de umidade</w:t>
              <w:br/>
              <w:t>- Tipo de Bateria: 9V 6F22 (inclusa)</w:t>
              <w:br/>
              <w:t>Conteúdo da embalagem:</w:t>
              <w:br/>
              <w:t>- 01 Multímetro Digital Portátil</w:t>
              <w:br/>
              <w:t>- 01 Testador de Cabos</w:t>
              <w:br/>
              <w:t>Detalhes:</w:t>
              <w:br/>
              <w:t>- Produto novo</w:t>
              <w:br/>
              <w:t>- Garantia mínima de 3 meses contra defeito de fabricação</w:t>
            </w:r>
          </w:p>
        </w:tc>
        <w:tc>
          <w:tcPr>
            <w:tcW w:type="dxa" w:w="97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31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770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9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</w:t>
            </w:r>
          </w:p>
        </w:tc>
        <w:tc>
          <w:tcPr>
            <w:tcW w:type="dxa" w:w="98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56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Unid</w:t>
            </w:r>
          </w:p>
        </w:tc>
        <w:tc>
          <w:tcPr>
            <w:tcW w:type="dxa" w:w="68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34</w:t>
            </w:r>
          </w:p>
        </w:tc>
        <w:tc>
          <w:tcPr>
            <w:tcW w:type="dxa" w:w="319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PONTA DE PROVA PARA MULTÍMETRO Ponta de prova universal;</w:t>
              <w:br/>
              <w:t>Revestida de PVC isolante;</w:t>
              <w:br/>
              <w:t>Conetores "banana";</w:t>
              <w:br/>
              <w:t>Pontas de prova extra-fina.</w:t>
              <w:br/>
              <w:t>Corrente máxima: 15A;</w:t>
              <w:br/>
              <w:t>Tensão máxima: 1KV(1000Volts);</w:t>
              <w:br/>
              <w:t>Comprimento total do cabo: ~56cm;</w:t>
              <w:br/>
              <w:t>Cores padrão: Vermelho (+) / Preto (-);</w:t>
            </w:r>
          </w:p>
        </w:tc>
        <w:tc>
          <w:tcPr>
            <w:tcW w:type="dxa" w:w="97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31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770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9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</w:t>
            </w:r>
          </w:p>
        </w:tc>
        <w:tc>
          <w:tcPr>
            <w:tcW w:type="dxa" w:w="98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56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Unid</w:t>
            </w:r>
          </w:p>
        </w:tc>
        <w:tc>
          <w:tcPr>
            <w:tcW w:type="dxa" w:w="68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</w:t>
            </w:r>
          </w:p>
        </w:tc>
        <w:tc>
          <w:tcPr>
            <w:tcW w:type="dxa" w:w="319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ÓCULOS DE PROTEÇÃO: Com visor, apoio nasal e proteção laterais injetadas em uma mesma peça. Visor e hastes em policarbonato incolor ou cinza. Tamanho único. Visor com tratamento antiembaçante ou anti risco.</w:t>
            </w:r>
          </w:p>
        </w:tc>
        <w:tc>
          <w:tcPr>
            <w:tcW w:type="dxa" w:w="97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31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770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9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</w:t>
            </w:r>
          </w:p>
        </w:tc>
        <w:tc>
          <w:tcPr>
            <w:tcW w:type="dxa" w:w="98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261614</w:t>
            </w:r>
          </w:p>
        </w:tc>
        <w:tc>
          <w:tcPr>
            <w:tcW w:type="dxa" w:w="56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Unid</w:t>
            </w:r>
          </w:p>
        </w:tc>
        <w:tc>
          <w:tcPr>
            <w:tcW w:type="dxa" w:w="68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175</w:t>
            </w:r>
          </w:p>
        </w:tc>
        <w:tc>
          <w:tcPr>
            <w:tcW w:type="dxa" w:w="319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FERRO DE SOLDA - Ferro de Solda Profissional 110v, 60 w, conjunto de resistência e tubo metálico substituível, resistência de mica, ponta de cobre tratada com ferro e alumínio, comprimento do ferro 210mm, potência 60w, temperatura máxima 560ºC.</w:t>
            </w:r>
          </w:p>
        </w:tc>
        <w:tc>
          <w:tcPr>
            <w:tcW w:type="dxa" w:w="97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31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770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9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  <w:tc>
          <w:tcPr>
            <w:tcW w:type="dxa" w:w="98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219166</w:t>
            </w:r>
          </w:p>
        </w:tc>
        <w:tc>
          <w:tcPr>
            <w:tcW w:type="dxa" w:w="56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Unid</w:t>
            </w:r>
          </w:p>
        </w:tc>
        <w:tc>
          <w:tcPr>
            <w:tcW w:type="dxa" w:w="68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215</w:t>
            </w:r>
          </w:p>
        </w:tc>
        <w:tc>
          <w:tcPr>
            <w:tcW w:type="dxa" w:w="319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ESTANHO - Solda estanho para eletrônica, fio 1mm - 60/40, peso 500 grs.</w:t>
            </w:r>
          </w:p>
        </w:tc>
        <w:tc>
          <w:tcPr>
            <w:tcW w:type="dxa" w:w="97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31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770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9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type="dxa" w:w="98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56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Unid</w:t>
            </w:r>
          </w:p>
        </w:tc>
        <w:tc>
          <w:tcPr>
            <w:tcW w:type="dxa" w:w="68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154</w:t>
            </w:r>
          </w:p>
        </w:tc>
        <w:tc>
          <w:tcPr>
            <w:tcW w:type="dxa" w:w="319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Sugador solda modelo profissional de dimensões (mm): 24x210 mm com Bico do tipo antiestático e corpo de alumínio.</w:t>
            </w:r>
          </w:p>
        </w:tc>
        <w:tc>
          <w:tcPr>
            <w:tcW w:type="dxa" w:w="97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31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770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9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</w:t>
            </w:r>
          </w:p>
        </w:tc>
        <w:tc>
          <w:tcPr>
            <w:tcW w:type="dxa" w:w="98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56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Unid</w:t>
            </w:r>
          </w:p>
        </w:tc>
        <w:tc>
          <w:tcPr>
            <w:tcW w:type="dxa" w:w="68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type="dxa" w:w="319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Alicate para crimpar coaxial RG-58/59/62 HT301A.</w:t>
            </w:r>
          </w:p>
        </w:tc>
        <w:tc>
          <w:tcPr>
            <w:tcW w:type="dxa" w:w="97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31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770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9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  <w:tc>
          <w:tcPr>
            <w:tcW w:type="dxa" w:w="98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8290</w:t>
            </w:r>
          </w:p>
        </w:tc>
        <w:tc>
          <w:tcPr>
            <w:tcW w:type="dxa" w:w="56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Unid</w:t>
            </w:r>
          </w:p>
        </w:tc>
        <w:tc>
          <w:tcPr>
            <w:tcW w:type="dxa" w:w="68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32</w:t>
            </w:r>
          </w:p>
        </w:tc>
        <w:tc>
          <w:tcPr>
            <w:tcW w:type="dxa" w:w="319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</w:tcPr>
          <w:p>
            <w:pPr>
              <w:pStyle w:val="style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MARTELO MATERIAL FERRO, MATERIAL CABO MADEIRA, PESO 300 G, TIPO UNHA, TAMANHO18 MM</w:t>
              <w:br/>
              <w:t>Tratamento Diferenciado: Tipo I - Participação Exclusiva de ME/EPP</w:t>
              <w:br/>
              <w:t>Aplicabilidade Decreto 7174: Não</w:t>
              <w:br/>
              <w:t>Aplicabilidade Margem de Preferência: Não.</w:t>
            </w:r>
          </w:p>
        </w:tc>
        <w:tc>
          <w:tcPr>
            <w:tcW w:type="dxa" w:w="97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1313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type="dxa" w:w="770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6989"/>
            <w:gridSpan w:val="6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</w:tcPr>
          <w:p>
            <w:pPr>
              <w:pStyle w:val="style0"/>
              <w:jc w:val="left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type="dxa" w:w="131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212.529,81</w:t>
            </w:r>
          </w:p>
        </w:tc>
        <w:tc>
          <w:tcPr>
            <w:tcW w:type="dxa" w:w="768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35"/>
            </w:tcMar>
            <w:vAlign w:val="center"/>
          </w:tcPr>
          <w:p>
            <w:pPr>
              <w:pStyle w:val="style0"/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</w:tbl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widowControl w:val="false"/>
        <w:numPr>
          <w:ilvl w:val="0"/>
          <w:numId w:val="1"/>
        </w:numPr>
        <w:spacing w:after="0" w:before="240"/>
        <w:contextualSpacing w:val="false"/>
        <w:jc w:val="both"/>
        <w:rPr>
          <w:rFonts w:ascii="Calibri" w:cs="Arial" w:hAnsi="Calibri"/>
          <w:b/>
          <w:bCs/>
          <w:i/>
          <w:i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/>
          <w:iCs/>
          <w:color w:val="000000"/>
          <w:sz w:val="22"/>
          <w:szCs w:val="22"/>
        </w:rPr>
        <w:t>ÓRGÃO(S) PARTICIPANTE(S)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i/>
          <w:iCs/>
          <w:color w:val="000000"/>
          <w:sz w:val="22"/>
          <w:szCs w:val="22"/>
        </w:rPr>
        <w:t>São órgãos e entidades públicas participantes do registro de preços: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cs="Arial" w:hAnsi="Calibri"/>
          <w:i/>
          <w:color w:val="000000"/>
          <w:sz w:val="22"/>
          <w:szCs w:val="22"/>
        </w:rPr>
      </w:pPr>
      <w:r>
        <w:rPr>
          <w:rFonts w:ascii="Calibri" w:cs="Arial" w:hAnsi="Calibri"/>
          <w:i/>
          <w:color w:val="000000"/>
          <w:sz w:val="22"/>
          <w:szCs w:val="22"/>
        </w:rPr>
        <w:t xml:space="preserve">IFMT - </w:t>
      </w:r>
      <w:r>
        <w:rPr>
          <w:rFonts w:ascii="Calibri" w:cs="Arial" w:hAnsi="Calibri"/>
          <w:b/>
          <w:bCs/>
          <w:i/>
          <w:color w:val="000000"/>
          <w:sz w:val="22"/>
          <w:szCs w:val="22"/>
        </w:rPr>
        <w:t>Alta Floresta</w:t>
      </w:r>
      <w:r>
        <w:rPr>
          <w:rFonts w:ascii="Calibri" w:cs="Arial" w:hAnsi="Calibri"/>
          <w:i/>
          <w:color w:val="000000"/>
          <w:sz w:val="22"/>
          <w:szCs w:val="22"/>
        </w:rPr>
        <w:t xml:space="preserve"> - Rua A, Bairro: Setor A, 198, Primeiro Andar - CEP: 78580-000, Telefone: (66) 3512-7000, Alta Floresta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Barra do Garças</w:t>
      </w:r>
      <w:r>
        <w:rPr>
          <w:rFonts w:ascii="Calibri" w:hAnsi="Calibri"/>
          <w:color w:val="000000"/>
          <w:sz w:val="22"/>
          <w:szCs w:val="22"/>
        </w:rPr>
        <w:t xml:space="preserve"> - Estrada de acesso a BR-158, Radial José Mauricio Zampa, s/n - CEP: 78600-000, Telefone: (66) 3402-0100, Barra do Garças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Cáceres</w:t>
      </w:r>
      <w:r>
        <w:rPr>
          <w:rFonts w:ascii="Calibri" w:hAnsi="Calibri"/>
          <w:color w:val="000000"/>
          <w:sz w:val="22"/>
          <w:szCs w:val="22"/>
        </w:rPr>
        <w:t xml:space="preserve"> - Av. dos Ramires, s/n - CEP: 78200-000, Telefone: (65) 3221-2600, Cáceres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Campus Cuiabá </w:t>
      </w:r>
      <w:r>
        <w:rPr>
          <w:rFonts w:ascii="Calibri" w:hAnsi="Calibri"/>
          <w:color w:val="000000"/>
          <w:sz w:val="22"/>
          <w:szCs w:val="22"/>
        </w:rPr>
        <w:t>- Rua Profa. Zulmira Canavarros, 93 - CEP: 78605-200, Telefone: (65) 3318-1400, Cuiabá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Confresa</w:t>
      </w:r>
      <w:r>
        <w:rPr>
          <w:rFonts w:ascii="Calibri" w:hAnsi="Calibri"/>
          <w:color w:val="000000"/>
          <w:sz w:val="22"/>
          <w:szCs w:val="22"/>
        </w:rPr>
        <w:t xml:space="preserve"> - Av. VIlmar Fernandes, 300 - CEP: 78652-000, Telefone: (66) 3564-2600, Confresa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Campo Novo do Parecis</w:t>
      </w:r>
      <w:r>
        <w:rPr>
          <w:rFonts w:ascii="Calibri" w:hAnsi="Calibri"/>
          <w:color w:val="000000"/>
          <w:sz w:val="22"/>
          <w:szCs w:val="22"/>
        </w:rPr>
        <w:t xml:space="preserve"> - MT 235 Km 12, s/n - CEP: 78360-000, Telefone: (65) 3382-6200, Campo Novo do Parecis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Diamantino</w:t>
      </w:r>
      <w:r>
        <w:rPr>
          <w:rFonts w:ascii="Calibri" w:hAnsi="Calibri"/>
          <w:color w:val="000000"/>
          <w:sz w:val="22"/>
          <w:szCs w:val="22"/>
        </w:rPr>
        <w:t xml:space="preserve"> - Rodovia Roberto Campos - Novo Diamantino, None - CEP: 78400-970, Telefone: (65) 3337-1005, Diamantino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Guarantã do Norte</w:t>
      </w:r>
      <w:r>
        <w:rPr>
          <w:rFonts w:ascii="Calibri" w:hAnsi="Calibri"/>
          <w:color w:val="000000"/>
          <w:sz w:val="22"/>
          <w:szCs w:val="22"/>
        </w:rPr>
        <w:t xml:space="preserve"> - Rua Cambará nº 1.145, Centro - CEP: 78520-000, Telefone: (65) 9649-9668, Guarantã do Norte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Juína</w:t>
      </w:r>
      <w:r>
        <w:rPr>
          <w:rFonts w:ascii="Calibri" w:hAnsi="Calibri"/>
          <w:color w:val="000000"/>
          <w:sz w:val="22"/>
          <w:szCs w:val="22"/>
        </w:rPr>
        <w:t xml:space="preserve"> - Linha J, s/n - CEP: 78320-000, Telefone: (66) 3566-7300, Juína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Lucas do Rio Verde</w:t>
      </w:r>
      <w:r>
        <w:rPr>
          <w:rFonts w:ascii="Calibri" w:hAnsi="Calibri"/>
          <w:color w:val="000000"/>
          <w:sz w:val="22"/>
          <w:szCs w:val="22"/>
        </w:rPr>
        <w:t xml:space="preserve"> - Avenida Universitária 1600-W - Bairro: Parque das Emas - CEP: 78455-000, Telefone: (65) 9686-6126, Lucas do Rio Verde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Primavera do Leste</w:t>
      </w:r>
      <w:r>
        <w:rPr>
          <w:rFonts w:ascii="Calibri" w:hAnsi="Calibri"/>
          <w:color w:val="000000"/>
          <w:sz w:val="22"/>
          <w:szCs w:val="22"/>
        </w:rPr>
        <w:t xml:space="preserve"> - AVENIDA SANTO ANTÔNIO, Nº 1.075, Parque Eldorado – Primavera do Leste – MT. Telefone: (66)3498-2716.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Pontes e Lacerda</w:t>
      </w:r>
      <w:r>
        <w:rPr>
          <w:rFonts w:ascii="Calibri" w:hAnsi="Calibri"/>
          <w:color w:val="000000"/>
          <w:sz w:val="22"/>
          <w:szCs w:val="22"/>
        </w:rPr>
        <w:t xml:space="preserve"> - Rodovia MT-473, s/n - CEP: 78250-000, Telefone: (65) 32668200/3266-8241, Pontes e Lacerda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Rondonópolis</w:t>
      </w:r>
      <w:r>
        <w:rPr>
          <w:rFonts w:ascii="Calibri" w:hAnsi="Calibri"/>
          <w:color w:val="000000"/>
          <w:sz w:val="22"/>
          <w:szCs w:val="22"/>
        </w:rPr>
        <w:t xml:space="preserve"> - Rua Ananias Martins de Souza, nº 861 – Vila Mineira, Rondonópolis – MT . Telefone: (66)3427-2309.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Reitoria</w:t>
      </w:r>
      <w:r>
        <w:rPr>
          <w:rFonts w:ascii="Calibri" w:hAnsi="Calibri"/>
          <w:color w:val="000000"/>
          <w:sz w:val="22"/>
          <w:szCs w:val="22"/>
        </w:rPr>
        <w:t xml:space="preserve"> - Avenida Sen. Filinto Müller, 953 - Bairro: Duque de Caxias - CEP: 78043-400, Telefone: (65) 3616-4100, Cuiabá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Sinop</w:t>
      </w:r>
      <w:r>
        <w:rPr>
          <w:rFonts w:ascii="Calibri" w:hAnsi="Calibri"/>
          <w:color w:val="000000"/>
          <w:sz w:val="22"/>
          <w:szCs w:val="22"/>
        </w:rPr>
        <w:t xml:space="preserve"> - Rua das Avencas, 2377, Setor Comercial, Centro - CEP: 78557-477-000, Telefone: (65) 9952-0013, Sinop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Sorriso</w:t>
      </w:r>
      <w:r>
        <w:rPr>
          <w:rFonts w:ascii="Calibri" w:hAnsi="Calibri"/>
          <w:color w:val="000000"/>
          <w:sz w:val="22"/>
          <w:szCs w:val="22"/>
        </w:rPr>
        <w:t xml:space="preserve"> - Av. dos Universitários, 799, Bairro: Santa Clara - CEP: 78890-000, Telefone: (65) 9961-2297 - (65) 9985-6928, Sorriso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i/>
          <w:iCs/>
          <w:color w:val="000000"/>
          <w:sz w:val="22"/>
          <w:szCs w:val="22"/>
        </w:rPr>
        <w:t xml:space="preserve">IFMT - </w:t>
      </w:r>
      <w:r>
        <w:rPr>
          <w:rFonts w:ascii="Calibri" w:cs="Arial" w:hAnsi="Calibri"/>
          <w:b/>
          <w:bCs/>
          <w:i/>
          <w:iCs/>
          <w:color w:val="000000"/>
          <w:sz w:val="22"/>
          <w:szCs w:val="22"/>
        </w:rPr>
        <w:t>Campus Tangará da Serra</w:t>
      </w:r>
      <w:r>
        <w:rPr>
          <w:rFonts w:ascii="Calibri" w:cs="Arial" w:hAnsi="Calibri"/>
          <w:i/>
          <w:iCs/>
          <w:color w:val="000000"/>
          <w:sz w:val="22"/>
          <w:szCs w:val="22"/>
        </w:rPr>
        <w:t xml:space="preserve"> - Rua 28, 980 N - CEP: 78300-000, Telefone: (65) 3311-8500, Tangará da Serra / MT.</w:t>
      </w:r>
    </w:p>
    <w:p>
      <w:pPr>
        <w:pStyle w:val="style0"/>
        <w:widowControl/>
        <w:numPr>
          <w:ilvl w:val="2"/>
          <w:numId w:val="1"/>
        </w:numPr>
        <w:suppressAutoHyphens w:val="true"/>
        <w:spacing w:after="120" w:before="120" w:line="276" w:lineRule="auto"/>
        <w:contextualSpacing w:val="false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i/>
          <w:iCs/>
          <w:color w:val="000000"/>
          <w:sz w:val="22"/>
          <w:szCs w:val="22"/>
        </w:rPr>
        <w:t xml:space="preserve">IFMT – </w:t>
      </w:r>
      <w:r>
        <w:rPr>
          <w:rFonts w:ascii="Calibri" w:cs="Arial" w:hAnsi="Calibri"/>
          <w:b/>
          <w:bCs/>
          <w:i/>
          <w:iCs/>
          <w:color w:val="000000"/>
          <w:sz w:val="22"/>
          <w:szCs w:val="22"/>
        </w:rPr>
        <w:t>Campus Várzea Grande</w:t>
      </w:r>
      <w:r>
        <w:rPr>
          <w:rFonts w:ascii="Calibri" w:cs="Arial" w:hAnsi="Calibri"/>
          <w:i/>
          <w:iCs/>
          <w:color w:val="000000"/>
          <w:sz w:val="22"/>
          <w:szCs w:val="22"/>
        </w:rPr>
        <w:t xml:space="preserve"> – Avenida Tiradentes, nº 1300, Lot. Jardim Manaira, Petropolis, Varzea Grande – MT, CEP 78144-424;</w:t>
      </w:r>
    </w:p>
    <w:p>
      <w:pPr>
        <w:pStyle w:val="style0"/>
        <w:widowControl w:val="false"/>
        <w:numPr>
          <w:ilvl w:val="0"/>
          <w:numId w:val="1"/>
        </w:numPr>
        <w:spacing w:after="0" w:before="240"/>
        <w:ind w:hanging="360" w:left="360" w:right="-30"/>
        <w:contextualSpacing w:val="false"/>
        <w:jc w:val="both"/>
        <w:rPr>
          <w:rFonts w:ascii="Calibri" w:cs="Arial" w:hAnsi="Calibri"/>
          <w:b/>
          <w:color w:val="000000"/>
          <w:sz w:val="22"/>
          <w:szCs w:val="22"/>
        </w:rPr>
      </w:pPr>
      <w:r>
        <w:rPr>
          <w:rFonts w:ascii="Calibri" w:cs="Arial" w:hAnsi="Calibri"/>
          <w:b/>
          <w:bCs/>
          <w:color w:val="000000"/>
          <w:sz w:val="22"/>
          <w:szCs w:val="22"/>
        </w:rPr>
        <w:t>VALIDADE DA ATA</w:t>
      </w:r>
      <w:r>
        <w:rPr>
          <w:rFonts w:ascii="Calibri" w:cs="Arial" w:hAnsi="Calibri"/>
          <w:b/>
          <w:color w:val="000000"/>
          <w:sz w:val="22"/>
          <w:szCs w:val="22"/>
        </w:rPr>
        <w:t xml:space="preserve"> 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 xml:space="preserve">A validade da Ata de Registro de Preços será de </w:t>
      </w:r>
      <w:r>
        <w:rPr>
          <w:rFonts w:ascii="Calibri" w:cs="Arial" w:hAnsi="Calibri"/>
          <w:i/>
          <w:color w:val="000000"/>
          <w:sz w:val="22"/>
          <w:szCs w:val="22"/>
        </w:rPr>
        <w:t>12 meses</w:t>
      </w:r>
      <w:r>
        <w:rPr>
          <w:rFonts w:ascii="Calibri" w:cs="Arial" w:hAnsi="Calibri"/>
          <w:color w:val="000000"/>
          <w:sz w:val="22"/>
          <w:szCs w:val="22"/>
        </w:rPr>
        <w:t>, a partir da sua assinatura, não podendo ser prorrogada.</w:t>
      </w:r>
    </w:p>
    <w:p>
      <w:pPr>
        <w:pStyle w:val="style0"/>
        <w:widowControl w:val="false"/>
        <w:numPr>
          <w:ilvl w:val="0"/>
          <w:numId w:val="1"/>
        </w:numPr>
        <w:spacing w:after="0" w:before="240"/>
        <w:ind w:hanging="360" w:left="360" w:right="-30"/>
        <w:contextualSpacing w:val="false"/>
        <w:jc w:val="both"/>
        <w:rPr>
          <w:rFonts w:ascii="Calibri" w:cs="Arial" w:hAnsi="Calibri"/>
          <w:i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color w:val="000000"/>
          <w:sz w:val="22"/>
          <w:szCs w:val="22"/>
        </w:rPr>
        <w:t>REVISÃO E CANCELAMENTO</w:t>
      </w:r>
      <w:r>
        <w:rPr>
          <w:rFonts w:ascii="Calibri" w:cs="Arial" w:hAnsi="Calibri"/>
          <w:iCs/>
          <w:color w:val="000000"/>
          <w:sz w:val="22"/>
          <w:szCs w:val="22"/>
        </w:rPr>
        <w:t xml:space="preserve"> </w:t>
      </w:r>
    </w:p>
    <w:p>
      <w:pPr>
        <w:pStyle w:val="style42"/>
        <w:numPr>
          <w:ilvl w:val="1"/>
          <w:numId w:val="1"/>
        </w:numPr>
        <w:spacing w:after="120" w:before="120" w:line="276" w:lineRule="auto"/>
        <w:ind w:hanging="432" w:left="1283" w:right="0"/>
        <w:contextualSpacing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 Administração realizará pesquisa de mercado periodicamente, em intervalos não superiores a 180 (cento e oitenta) dias, a fim de verificar a vantajosidade dos preços registrados nesta Ata.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Os preços registrados poderão ser revistos em decorrência de eventual redução dos preços praticados no mercado ou de fato que eleve o custo do objeto registrado, cabendo à Administração promover as negociações junto ao(s) fornecedor(es).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Quando o preço registrado tornar-se superior ao preço praticado no mercado por motivo superveniente, a Administração convocará o(s) fornecedor(es) para negociar(em) a redução dos preços aos valores praticados pelo mercado.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fornecedor que não aceitar reduzir seu preço ao valor praticado pelo mercado será liberado do compromisso assumido, sem aplicação de penalidade.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 ordem de classificação dos fornecedores que aceitarem reduzir seus preços aos valores de mercado observará a classificação original.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Quando o preço de mercado tornar-se superior aos preços registrados e o fornecedor não puder cumprir o compromisso, o órgão gerenciador poderá: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Convocar os demais fornecedores para assegurar igual oportunidade de negociação.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Não havendo êxito nas negociações, o órgão gerenciador deverá proceder à revogação desta ata de registro de preços, adotando as medidas cabíveis para obtenção da contratação mais vantajosa.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registro do fornecedor será cancelado quando: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Descumprir as condições da ata de registro de preços;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Não retirar a nota de empenho ou instrumento equivalente no prazo estabelecido pela Administração, sem justificativa aceitável;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Não aceitar reduzir o seu preço registrado, na hipótese deste se tornar superior àqueles praticados no mercado; ou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Sofrer sanção administrativa cujo efeito torne-o proibido de celebrar contrato administrativo, alcançando o órgão gerenciador e órgão(s) participante(s).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cancelamento de registros nas hipóteses previstas nos itens 5.7.1, 5.7.2 e 5.7.4 será formalizado por despacho do órgão gerenciador, assegurado o contraditório e a ampla defesa.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cancelamento do registro de preços poderá ocorrer por fato superveniente, decorrente de caso fortuito ou força maior, que prejudique o cumprimento da ata, devidamente comprovados e justificados: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Por razão de interesse público; ou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 pedido do fornecedor.</w:t>
      </w:r>
    </w:p>
    <w:p>
      <w:pPr>
        <w:pStyle w:val="style0"/>
        <w:widowControl/>
        <w:numPr>
          <w:ilvl w:val="0"/>
          <w:numId w:val="1"/>
        </w:numPr>
        <w:suppressAutoHyphens w:val="true"/>
        <w:spacing w:after="120" w:before="120" w:line="276" w:lineRule="auto"/>
        <w:contextualSpacing w:val="false"/>
        <w:jc w:val="both"/>
        <w:rPr>
          <w:rFonts w:ascii="Calibri" w:cs="Arial" w:hAnsi="Calibri"/>
          <w:b/>
          <w:b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color w:val="000000"/>
          <w:sz w:val="22"/>
          <w:szCs w:val="22"/>
        </w:rPr>
        <w:t>DA FORMAÇÃO DO CADASTRO DE RESERVA</w:t>
      </w:r>
    </w:p>
    <w:p>
      <w:pPr>
        <w:pStyle w:val="style0"/>
        <w:widowControl/>
        <w:numPr>
          <w:ilvl w:val="1"/>
          <w:numId w:val="1"/>
        </w:numPr>
        <w:suppressAutoHyphens w:val="true"/>
        <w:spacing w:after="120" w:before="120" w:line="276" w:lineRule="auto"/>
        <w:contextualSpacing w:val="false"/>
        <w:jc w:val="both"/>
        <w:rPr>
          <w:rFonts w:ascii="Calibri" w:cs="Arial" w:hAnsi="Calibri"/>
          <w:b w:val="false"/>
          <w:bCs w:val="false"/>
          <w:color w:val="000000"/>
          <w:sz w:val="22"/>
          <w:szCs w:val="22"/>
          <w:lang w:eastAsia="en-US"/>
        </w:rPr>
      </w:pPr>
      <w:r>
        <w:rPr>
          <w:rFonts w:ascii="Calibri" w:cs="Arial" w:hAnsi="Calibri"/>
          <w:b w:val="false"/>
          <w:bCs w:val="false"/>
          <w:color w:val="000000"/>
          <w:sz w:val="22"/>
          <w:szCs w:val="22"/>
          <w:lang w:eastAsia="en-US"/>
        </w:rPr>
        <w:t>Os critérios de formação do cadastro de reserva estão previstos no Item 20 do Edital.</w:t>
      </w:r>
    </w:p>
    <w:p>
      <w:pPr>
        <w:pStyle w:val="style0"/>
        <w:spacing w:after="120" w:before="120" w:line="276" w:lineRule="auto"/>
        <w:ind w:hanging="0" w:left="425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</w:r>
    </w:p>
    <w:p>
      <w:pPr>
        <w:pStyle w:val="style0"/>
        <w:widowControl w:val="false"/>
        <w:numPr>
          <w:ilvl w:val="0"/>
          <w:numId w:val="1"/>
        </w:numPr>
        <w:jc w:val="both"/>
        <w:rPr>
          <w:rFonts w:ascii="Calibri" w:cs="Arial" w:hAnsi="Calibri"/>
          <w:b/>
          <w:bCs/>
          <w:i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Cs/>
          <w:color w:val="000000"/>
          <w:sz w:val="22"/>
          <w:szCs w:val="22"/>
        </w:rPr>
        <w:t>CONDIÇÕES GERAIS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iCs/>
          <w:color w:val="000000"/>
          <w:sz w:val="22"/>
          <w:szCs w:val="22"/>
        </w:rPr>
      </w:pPr>
      <w:r>
        <w:rPr>
          <w:rFonts w:ascii="Calibri" w:cs="Arial" w:hAnsi="Calibri"/>
          <w:iCs/>
          <w:color w:val="000000"/>
          <w:sz w:val="22"/>
          <w:szCs w:val="22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iCs/>
          <w:color w:val="000000"/>
          <w:sz w:val="22"/>
          <w:szCs w:val="22"/>
        </w:rPr>
        <w:t>É vedado efetuar acréscimos nos quantitativos fixados nesta ata de registro de preços, inclusive o acréscimo de que trata o § 1º do art</w:t>
      </w:r>
      <w:r>
        <w:rPr>
          <w:rFonts w:ascii="Calibri" w:cs="Arial" w:hAnsi="Calibri"/>
          <w:color w:val="000000"/>
          <w:sz w:val="22"/>
          <w:szCs w:val="22"/>
        </w:rPr>
        <w:t>. 65 da Lei nº 8.666/93.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i/>
          <w:iCs/>
          <w:color w:val="000000"/>
          <w:sz w:val="22"/>
          <w:szCs w:val="22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2014.</w:t>
      </w:r>
    </w:p>
    <w:p>
      <w:pPr>
        <w:pStyle w:val="style0"/>
        <w:widowControl w:val="false"/>
        <w:spacing w:after="0" w:before="240"/>
        <w:ind w:hanging="0" w:left="567" w:right="-15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</w:r>
    </w:p>
    <w:p>
      <w:pPr>
        <w:pStyle w:val="style0"/>
        <w:widowControl w:val="false"/>
        <w:ind w:hanging="0" w:left="0" w:right="-15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 xml:space="preserve">Para firmeza e validade do pactuado, a presente Ata foi lavrada em 02 (duas) vias de igual teor, que, depois de lida e achada em ordem, vai assinada pelas partes </w:t>
      </w:r>
      <w:r>
        <w:rPr>
          <w:rFonts w:ascii="Calibri" w:cs="Arial" w:hAnsi="Calibri"/>
          <w:i/>
          <w:iCs/>
          <w:color w:val="000000"/>
          <w:sz w:val="22"/>
          <w:szCs w:val="22"/>
        </w:rPr>
        <w:t xml:space="preserve">e encaminhada cópia aos demais órgãos participantes. </w:t>
      </w:r>
    </w:p>
    <w:p>
      <w:pPr>
        <w:pStyle w:val="style0"/>
        <w:widowControl w:val="false"/>
        <w:ind w:hanging="0" w:left="0" w:right="-15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i/>
          <w:iCs/>
          <w:color w:val="000000"/>
          <w:sz w:val="22"/>
          <w:szCs w:val="22"/>
        </w:rPr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Local e data</w:t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Assinaturas</w:t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Representante legal do órgão gerenciador e representante(s) legal(is) do(s) fornecedor(s) registrado(s)</w:t>
      </w:r>
    </w:p>
    <w:p>
      <w:pPr>
        <w:pStyle w:val="style0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</w:r>
    </w:p>
    <w:p>
      <w:pPr>
        <w:pStyle w:val="style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sectPr>
      <w:footerReference r:id="rId3" w:type="default"/>
      <w:type w:val="nextPage"/>
      <w:pgSz w:h="16838" w:w="11906"/>
      <w:pgMar w:bottom="1418" w:footer="708" w:gutter="0" w:header="0" w:left="1701" w:right="1134" w:top="1418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4"/>
      <w:rPr>
        <w:rFonts w:ascii="Times New Roman" w:cs="Times New Roman" w:hAnsi="Times New Roman"/>
      </w:rPr>
    </w:pPr>
    <w:r>
      <w:rPr>
        <w:rFonts w:ascii="Times New Roman" w:cs="Times New Roman" w:hAnsi="Times New Roman"/>
      </w:rPr>
      <w:t>____________________________________________________________________</w:t>
    </w:r>
  </w:p>
  <w:p>
    <w:pPr>
      <w:pStyle w:val="style44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Comissão Permanente de Atualização de Editais da Consultoria-Geral da União</w:t>
    </w:r>
  </w:p>
  <w:p>
    <w:pPr>
      <w:pStyle w:val="style44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Ata de Registro de Preços – modelo – pregão compras</w:t>
    </w:r>
  </w:p>
  <w:p>
    <w:pPr>
      <w:pStyle w:val="style44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Atualização: Janeiro/2016</w:t>
    </w:r>
  </w:p>
</w:ftr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360"/>
      </w:pPr>
      <w:rPr>
        <w:b/>
      </w:rPr>
    </w:lvl>
    <w:lvl w:ilvl="1">
      <w:start w:val="1"/>
      <w:numFmt w:val="decimal"/>
      <w:lvlText w:val="%1.%2."/>
      <w:lvlJc w:val="left"/>
      <w:pPr>
        <w:ind w:hanging="432" w:left="1283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hanging="504" w:left="1497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Ecofont_Spranq_eco_Sans" w:cs="Tahoma" w:eastAsia="Times New Roman" w:hAnsi="Ecofont_Spranq_eco_Sans"/>
      <w:color w:val="00000A"/>
      <w:sz w:val="24"/>
      <w:szCs w:val="24"/>
      <w:lang w:bidi="ar-SA" w:eastAsia="pt-BR" w:val="pt-BR"/>
    </w:rPr>
  </w:style>
  <w:style w:styleId="style15" w:type="character">
    <w:name w:val="Default Paragraph Font"/>
    <w:next w:val="style15"/>
    <w:rPr/>
  </w:style>
  <w:style w:styleId="style16" w:type="character">
    <w:name w:val="Grade Colorida - Ênfase 1 Char"/>
    <w:next w:val="style16"/>
    <w:rPr>
      <w:rFonts w:ascii="Ecofont_Spranq_eco_Sans" w:cs="Tahoma" w:eastAsia="Calibri" w:hAnsi="Ecofont_Spranq_eco_Sans"/>
      <w:i/>
      <w:iCs/>
      <w:color w:val="000000"/>
      <w:szCs w:val="24"/>
      <w:lang w:bidi="ar-SA" w:eastAsia="en-US" w:val="pt-BR"/>
    </w:rPr>
  </w:style>
  <w:style w:styleId="style17" w:type="character">
    <w:name w:val="Body Text Char"/>
    <w:next w:val="style17"/>
    <w:rPr>
      <w:sz w:val="24"/>
      <w:szCs w:val="24"/>
    </w:rPr>
  </w:style>
  <w:style w:styleId="style18" w:type="character">
    <w:name w:val="Link da Internet"/>
    <w:next w:val="style18"/>
    <w:rPr>
      <w:color w:val="0000FF"/>
      <w:u w:val="single"/>
      <w:lang w:bidi="zxx-" w:eastAsia="zxx-" w:val="zxx-"/>
    </w:rPr>
  </w:style>
  <w:style w:styleId="style19" w:type="character">
    <w:name w:val="Header Char"/>
    <w:basedOn w:val="style15"/>
    <w:next w:val="style19"/>
    <w:rPr>
      <w:rFonts w:ascii="Ecofont_Spranq_eco_Sans" w:cs="Tahoma" w:hAnsi="Ecofont_Spranq_eco_Sans"/>
      <w:sz w:val="24"/>
      <w:szCs w:val="24"/>
    </w:rPr>
  </w:style>
  <w:style w:styleId="style20" w:type="character">
    <w:name w:val="Footer Char"/>
    <w:basedOn w:val="style15"/>
    <w:next w:val="style20"/>
    <w:rPr>
      <w:rFonts w:ascii="Ecofont_Spranq_eco_Sans" w:cs="Tahoma" w:hAnsi="Ecofont_Spranq_eco_Sans"/>
      <w:sz w:val="24"/>
      <w:szCs w:val="24"/>
    </w:rPr>
  </w:style>
  <w:style w:styleId="style21" w:type="character">
    <w:name w:val="citação 2 Char"/>
    <w:next w:val="style21"/>
    <w:rPr>
      <w:rFonts w:ascii="Ecofont_Spranq_eco_Sans" w:cs="Tahoma" w:eastAsia="Calibri" w:hAnsi="Ecofont_Spranq_eco_Sans"/>
      <w:i/>
      <w:iCs/>
      <w:color w:val="000000"/>
      <w:sz w:val="24"/>
      <w:szCs w:val="24"/>
      <w:shd w:fill="FFFFCC" w:val="clear"/>
      <w:lang w:eastAsia="en-US"/>
    </w:rPr>
  </w:style>
  <w:style w:styleId="style22" w:type="character">
    <w:name w:val="Quote Char"/>
    <w:basedOn w:val="style15"/>
    <w:next w:val="style22"/>
    <w:rPr>
      <w:rFonts w:ascii="Ecofont_Spranq_eco_Sans" w:cs="Tahoma" w:hAnsi="Ecofont_Spranq_eco_Sans"/>
      <w:i/>
      <w:iCs/>
      <w:color w:val="000000"/>
      <w:sz w:val="24"/>
      <w:szCs w:val="24"/>
    </w:rPr>
  </w:style>
  <w:style w:styleId="style23" w:type="character">
    <w:name w:val="ListLabel 1"/>
    <w:next w:val="style23"/>
    <w:rPr>
      <w:b/>
    </w:rPr>
  </w:style>
  <w:style w:styleId="style24" w:type="character">
    <w:name w:val="ListLabel 2"/>
    <w:next w:val="style24"/>
    <w:rPr>
      <w:sz w:val="20"/>
      <w:szCs w:val="20"/>
    </w:rPr>
  </w:style>
  <w:style w:styleId="style25" w:type="character">
    <w:name w:val="ListLabel 3"/>
    <w:next w:val="style25"/>
    <w:rPr>
      <w:rFonts w:cs="Courier New"/>
    </w:rPr>
  </w:style>
  <w:style w:styleId="style26" w:type="character">
    <w:name w:val="ListLabel 4"/>
    <w:next w:val="style26"/>
    <w:rPr>
      <w:b/>
    </w:rPr>
  </w:style>
  <w:style w:styleId="style27" w:type="character">
    <w:name w:val="ListLabel 5"/>
    <w:next w:val="style27"/>
    <w:rPr>
      <w:sz w:val="20"/>
      <w:szCs w:val="20"/>
    </w:rPr>
  </w:style>
  <w:style w:styleId="style28" w:type="character">
    <w:name w:val="ListLabel 6"/>
    <w:next w:val="style28"/>
    <w:rPr>
      <w:b/>
    </w:rPr>
  </w:style>
  <w:style w:styleId="style29" w:type="character">
    <w:name w:val="ListLabel 7"/>
    <w:next w:val="style29"/>
    <w:rPr>
      <w:sz w:val="20"/>
      <w:szCs w:val="20"/>
    </w:rPr>
  </w:style>
  <w:style w:styleId="style30" w:type="character">
    <w:name w:val="ListLabel 8"/>
    <w:next w:val="style30"/>
    <w:rPr>
      <w:b/>
    </w:rPr>
  </w:style>
  <w:style w:styleId="style31" w:type="character">
    <w:name w:val="ListLabel 9"/>
    <w:next w:val="style31"/>
    <w:rPr>
      <w:sz w:val="20"/>
      <w:szCs w:val="20"/>
    </w:rPr>
  </w:style>
  <w:style w:styleId="style32" w:type="character">
    <w:name w:val="ListLabel 10"/>
    <w:next w:val="style32"/>
    <w:rPr>
      <w:b/>
    </w:rPr>
  </w:style>
  <w:style w:styleId="style33" w:type="character">
    <w:name w:val="ListLabel 11"/>
    <w:next w:val="style33"/>
    <w:rPr>
      <w:sz w:val="20"/>
      <w:szCs w:val="20"/>
    </w:rPr>
  </w:style>
  <w:style w:styleId="style34" w:type="character">
    <w:name w:val="ListLabel 12"/>
    <w:next w:val="style34"/>
    <w:rPr>
      <w:b/>
    </w:rPr>
  </w:style>
  <w:style w:styleId="style35" w:type="character">
    <w:name w:val="ListLabel 13"/>
    <w:next w:val="style35"/>
    <w:rPr>
      <w:sz w:val="20"/>
      <w:szCs w:val="20"/>
    </w:rPr>
  </w:style>
  <w:style w:styleId="style36" w:type="paragraph">
    <w:name w:val="Título"/>
    <w:basedOn w:val="style0"/>
    <w:next w:val="style37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37" w:type="paragraph">
    <w:name w:val="Corpo do texto"/>
    <w:basedOn w:val="style0"/>
    <w:next w:val="style37"/>
    <w:pPr>
      <w:spacing w:after="28" w:before="28"/>
      <w:contextualSpacing w:val="false"/>
    </w:pPr>
    <w:rPr>
      <w:rFonts w:ascii="Times New Roman" w:cs="Times New Roman" w:hAnsi="Times New Roman"/>
    </w:rPr>
  </w:style>
  <w:style w:styleId="style38" w:type="paragraph">
    <w:name w:val="Lista"/>
    <w:basedOn w:val="style37"/>
    <w:next w:val="style38"/>
    <w:pPr/>
    <w:rPr>
      <w:rFonts w:cs="Mangal"/>
    </w:rPr>
  </w:style>
  <w:style w:styleId="style39" w:type="paragraph">
    <w:name w:val="Legenda"/>
    <w:basedOn w:val="style0"/>
    <w:next w:val="style3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40" w:type="paragraph">
    <w:name w:val="Índice"/>
    <w:basedOn w:val="style0"/>
    <w:next w:val="style40"/>
    <w:pPr>
      <w:suppressLineNumbers/>
    </w:pPr>
    <w:rPr>
      <w:rFonts w:cs="Mangal"/>
    </w:rPr>
  </w:style>
  <w:style w:styleId="style41" w:type="paragraph">
    <w:name w:val="Grade Colorida - Ênfase 11"/>
    <w:basedOn w:val="style0"/>
    <w:next w:val="style41"/>
    <w:pPr>
      <w:pBdr>
        <w:top w:color="1F497D" w:space="0" w:sz="4" w:val="single"/>
        <w:left w:color="1F497D" w:space="0" w:sz="4" w:val="single"/>
        <w:bottom w:color="1F497D" w:space="0" w:sz="4" w:val="single"/>
        <w:insideH w:color="1F497D" w:space="0" w:sz="4" w:val="single"/>
        <w:right w:color="1F497D" w:space="0" w:sz="4" w:val="single"/>
        <w:insideV w:color="1F497D" w:space="0" w:sz="4" w:val="single"/>
      </w:pBdr>
      <w:shd w:fill="FFFFCC" w:val="clear"/>
      <w:spacing w:after="0" w:before="120"/>
      <w:contextualSpacing w:val="false"/>
      <w:jc w:val="both"/>
    </w:pPr>
    <w:rPr>
      <w:rFonts w:eastAsia="Calibri"/>
      <w:i/>
      <w:iCs/>
      <w:color w:val="000000"/>
      <w:sz w:val="20"/>
      <w:lang w:eastAsia="en-US"/>
    </w:rPr>
  </w:style>
  <w:style w:styleId="style42" w:type="paragraph">
    <w:name w:val="List Paragraph"/>
    <w:basedOn w:val="style0"/>
    <w:next w:val="style42"/>
    <w:pPr>
      <w:spacing w:after="0" w:before="0"/>
      <w:ind w:hanging="0" w:left="720" w:right="0"/>
      <w:contextualSpacing/>
    </w:pPr>
    <w:rPr/>
  </w:style>
  <w:style w:styleId="style43" w:type="paragraph">
    <w:name w:val="Cabeçalho"/>
    <w:basedOn w:val="style0"/>
    <w:next w:val="style43"/>
    <w:pPr>
      <w:tabs>
        <w:tab w:leader="none" w:pos="4252" w:val="center"/>
        <w:tab w:leader="none" w:pos="8504" w:val="right"/>
      </w:tabs>
    </w:pPr>
    <w:rPr/>
  </w:style>
  <w:style w:styleId="style44" w:type="paragraph">
    <w:name w:val="Rodapé"/>
    <w:basedOn w:val="style0"/>
    <w:next w:val="style44"/>
    <w:pPr>
      <w:tabs>
        <w:tab w:leader="none" w:pos="4252" w:val="center"/>
        <w:tab w:leader="none" w:pos="8504" w:val="right"/>
      </w:tabs>
    </w:pPr>
    <w:rPr/>
  </w:style>
  <w:style w:styleId="style45" w:type="paragraph">
    <w:name w:val="citação 2"/>
    <w:next w:val="style45"/>
    <w:pPr>
      <w:widowControl w:val="false"/>
      <w:pBdr>
        <w:top w:color="1F497D" w:space="0" w:sz="4" w:val="single"/>
        <w:left w:color="1F497D" w:space="0" w:sz="4" w:val="single"/>
        <w:bottom w:color="1F497D" w:space="0" w:sz="4" w:val="single"/>
        <w:insideH w:color="1F497D" w:space="0" w:sz="4" w:val="single"/>
        <w:right w:color="1F497D" w:space="0" w:sz="4" w:val="single"/>
        <w:insideV w:color="1F497D" w:space="0" w:sz="4" w:val="single"/>
      </w:pBdr>
      <w:shd w:fill="FFFFCC" w:val="clear"/>
      <w:suppressAutoHyphens w:val="true"/>
      <w:spacing w:after="0" w:before="120"/>
      <w:contextualSpacing w:val="false"/>
      <w:jc w:val="both"/>
    </w:pPr>
    <w:rPr>
      <w:rFonts w:ascii="Times New Roman" w:cs="Times New Roman" w:eastAsia="Calibri" w:hAnsi="Times New Roman"/>
      <w:color w:val="000000"/>
      <w:sz w:val="20"/>
      <w:szCs w:val="20"/>
      <w:lang w:bidi="ar-SA" w:eastAsia="en-US" w:val="pt-BR"/>
    </w:rPr>
  </w:style>
  <w:style w:styleId="style46" w:type="paragraph">
    <w:name w:val="Quote"/>
    <w:basedOn w:val="style0"/>
    <w:next w:val="style46"/>
    <w:pPr/>
    <w:rPr>
      <w:i/>
      <w:iCs/>
      <w:color w:val="000000"/>
    </w:rPr>
  </w:style>
  <w:style w:styleId="style47" w:type="paragraph">
    <w:name w:val="Conteúdo da tabela"/>
    <w:basedOn w:val="style0"/>
    <w:next w:val="style47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LibreOffice/4.1.0.4$Windows_x86 LibreOffice_project/89ea49ddacd9aa532507cbf852f2bb22b1ace28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2013-03-28T21:50:00Z</dcterms:created>
  <dc:description>Texto idêntico ao modelo de serviços, salvo pela especificação do objeto contratado e da respectiva nota explicativa.</dc:description>
  <cp:lastModifiedBy>Manoel Paz e Silva Filho</cp:lastModifiedBy>
  <cp:lastPrinted>2016-12-07T09:19:34Z</cp:lastPrinted>
  <dcterms:modified xsi:type="dcterms:W3CDTF">2016-01-04T03:09:00Z</dcterms:modified>
  <cp:revision>19</cp:revision>
  <dc:title>MODELO</dc:title>
</cp:coreProperties>
</file>