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5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/>
      </w:pPr>
      <w:r>
        <w:rPr/>
        <w:drawing>
          <wp:inline distB="0" distL="0" distR="0" distT="0">
            <wp:extent cx="668020" cy="615315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1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  <w:t>SERVIÇO PÚBLICO FEDERAL</w:t>
      </w:r>
    </w:p>
    <w:p>
      <w:pPr>
        <w:pStyle w:val="style0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 xml:space="preserve">INSTITUTO FEDERAL DE EDUCAÇÃO, CIÊNCIA E TECNOLOGIA DE MATO GROSSO </w:t>
      </w:r>
    </w:p>
    <w:p>
      <w:pPr>
        <w:pStyle w:val="style0"/>
        <w:ind w:hanging="0" w:left="0" w:right="-17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CAMPUS SÃO VICENTE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>
          <w:rFonts w:ascii="Arial" w:cs="Arial" w:hAnsi="Arial"/>
          <w:b/>
          <w:bCs/>
          <w:iCs/>
          <w:color w:val="000000"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>ANEXO II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 xml:space="preserve">ATA DE REGISTRO DE PREÇOS </w:t>
      </w:r>
      <w:r>
        <w:rPr>
          <w:rFonts w:ascii="Arial" w:cs="Arial" w:hAnsi="Arial"/>
          <w:bCs/>
          <w:sz w:val="20"/>
          <w:szCs w:val="20"/>
        </w:rPr>
        <w:t>N.º .........</w:t>
      </w:r>
    </w:p>
    <w:p>
      <w:pPr>
        <w:pStyle w:val="style0"/>
        <w:widowControl w:val="false"/>
        <w:ind w:hanging="0" w:left="0" w:right="-30"/>
        <w:jc w:val="both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O </w:t>
      </w:r>
      <w:r>
        <w:rPr>
          <w:rFonts w:ascii="Calibri" w:cs="Arial" w:hAnsi="Calibri"/>
          <w:b/>
          <w:sz w:val="22"/>
          <w:szCs w:val="22"/>
        </w:rPr>
        <w:t>INSTITUTO FEDERAL DE EDUCAÇÃO, CIÊNCIA E TECNOLOGIA DE MATO GROSSO – CAMPUS SÃO VICENTE / IFMT – Campus São Vicente</w:t>
      </w:r>
      <w:r>
        <w:rPr>
          <w:rFonts w:ascii="Calibri" w:cs="Arial" w:hAnsi="Calibri"/>
          <w:sz w:val="22"/>
          <w:szCs w:val="22"/>
        </w:rPr>
        <w:t>, autarquia federal vinculada ao Ministério da Educação, com sede à rodovia BR 364, Km 329, CEP 78.106-970, Vila de São Vicente da Serra – Santo Antônio do Leverger-MT, inscrito no CNPJ n</w:t>
      </w:r>
      <w:r>
        <w:rPr>
          <w:rFonts w:ascii="Calibri" w:cs="Arial" w:hAnsi="Calibri"/>
          <w:sz w:val="22"/>
          <w:szCs w:val="22"/>
          <w:u w:val="single"/>
          <w:vertAlign w:val="superscript"/>
        </w:rPr>
        <w:t>o</w:t>
      </w:r>
      <w:r>
        <w:rPr>
          <w:rFonts w:ascii="Calibri" w:cs="Arial" w:hAnsi="Calibri"/>
          <w:sz w:val="22"/>
          <w:szCs w:val="22"/>
        </w:rPr>
        <w:t xml:space="preserve"> 10.784.782/0005-84, neste ato representado seu Diretor-Geral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, </w:t>
      </w:r>
      <w:r>
        <w:rPr>
          <w:rFonts w:ascii="Calibri" w:cs="Arial" w:hAnsi="Calibri"/>
          <w:b/>
          <w:bCs w:val="false"/>
          <w:sz w:val="22"/>
          <w:szCs w:val="22"/>
        </w:rPr>
        <w:t>Professor José Luiz de Siqueira</w:t>
      </w:r>
      <w:r>
        <w:rPr>
          <w:rFonts w:ascii="Calibri" w:cs="Arial" w:hAnsi="Calibri"/>
          <w:b w:val="false"/>
          <w:bCs w:val="false"/>
          <w:sz w:val="22"/>
          <w:szCs w:val="22"/>
        </w:rPr>
        <w:t>, brasileiro, casado, residente e domiciliado na Av. Minuano, Res. São Conrado, nº 165, Bairro Jardim Bom Clima – CEP 78.0482-23, Cuiabá-MT, portador da Carteira de Identidade n</w:t>
      </w:r>
      <w:r>
        <w:rPr>
          <w:rFonts w:ascii="Calibri" w:cs="Arial" w:hAnsi="Calibri"/>
          <w:b w:val="false"/>
          <w:bCs w:val="false"/>
          <w:sz w:val="22"/>
          <w:szCs w:val="22"/>
          <w:vertAlign w:val="superscript"/>
        </w:rPr>
        <w:t>o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 296084 SSP-MT, CPF nº 283.846.871-53</w:t>
      </w:r>
      <w:r>
        <w:rPr>
          <w:rFonts w:ascii="Calibri" w:cs="Arial" w:hAnsi="Calibri"/>
          <w:sz w:val="22"/>
          <w:szCs w:val="22"/>
        </w:rPr>
        <w:t xml:space="preserve">, no pleno exercício de suas atribuições legais e regulamentares, designado através da Portaria do Reitor do Instituto Federal de Educação, Ciência e Tecnologia de Mato Grosso, nº 630-VI de 18/04/2013, publicada no DOU de 19/04/2013, considerando o julgamento da licitação na modalidade de pregão, na forma </w:t>
      </w:r>
      <w:r>
        <w:rPr>
          <w:rFonts w:ascii="Calibri" w:cs="Arial" w:hAnsi="Calibri"/>
          <w:iCs/>
          <w:sz w:val="22"/>
          <w:szCs w:val="22"/>
        </w:rPr>
        <w:t>eletrônica</w:t>
      </w:r>
      <w:r>
        <w:rPr>
          <w:rFonts w:ascii="Calibri" w:cs="Arial" w:hAnsi="Calibri"/>
          <w:sz w:val="22"/>
          <w:szCs w:val="22"/>
        </w:rPr>
        <w:t xml:space="preserve">, para REGISTRO DE PREÇOS nº ___/2016, publicada no ...... de ...../...../200....., processo administrativo n.º 23197.032344.2016-07,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ascii="Calibri" w:cs="Arial" w:hAnsi="Calibri"/>
          <w:iCs/>
          <w:sz w:val="22"/>
          <w:szCs w:val="22"/>
        </w:rPr>
        <w:t>Decreto n.º 7.892, de 23 de janeiro de 2013,</w:t>
      </w:r>
      <w:r>
        <w:rPr>
          <w:rFonts w:ascii="Calibri" w:cs="Arial" w:hAnsi="Calibri"/>
          <w:sz w:val="22"/>
          <w:szCs w:val="22"/>
        </w:rPr>
        <w:t xml:space="preserve"> e em conformidade com as disposições a seguir:</w:t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 OBJETO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A presente Ata tem por objeto o registro de preços para a eventual aquisição de </w:t>
      </w: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MATERIAIS DE TELEFONIA IP</w:t>
      </w:r>
      <w:r>
        <w:rPr>
          <w:rFonts w:ascii="Calibri" w:cs="Arial" w:hAnsi="Calibri"/>
          <w:sz w:val="22"/>
          <w:szCs w:val="22"/>
        </w:rPr>
        <w:t xml:space="preserve">, especificado(s) no(s) item(ns).......... do .......... Termo de Referência, anexo I do edital de </w:t>
      </w:r>
      <w:r>
        <w:rPr>
          <w:rFonts w:ascii="Calibri" w:cs="Arial" w:hAnsi="Calibri"/>
          <w:i/>
          <w:sz w:val="22"/>
          <w:szCs w:val="22"/>
        </w:rPr>
        <w:t>Pregão</w:t>
      </w:r>
      <w:r>
        <w:rPr>
          <w:rFonts w:ascii="Calibri" w:cs="Arial" w:hAnsi="Calibri"/>
          <w:sz w:val="22"/>
          <w:szCs w:val="22"/>
        </w:rPr>
        <w:t xml:space="preserve"> nº _____/2016, que é parte integrante desta Ata, assim como a proposta vencedora, independentemente de transcrição.</w:t>
      </w:r>
    </w:p>
    <w:p>
      <w:pPr>
        <w:pStyle w:val="style0"/>
        <w:widowControl w:val="false"/>
        <w:ind w:hanging="0" w:left="792" w:right="0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DOS PREÇOS, ESPECIFICAÇÕES E QUANTITATIVOS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O preço registrado, as especificações do objeto, a quantidade, fornecedor(es) e as demais condições ofertadas na(s) proposta(s) são as que seguem: </w:t>
      </w:r>
    </w:p>
    <w:p>
      <w:pPr>
        <w:pStyle w:val="style0"/>
        <w:spacing w:after="120" w:before="120" w:line="276" w:lineRule="auto"/>
        <w:ind w:hanging="432" w:left="425" w:right="0"/>
        <w:contextualSpacing w:val="false"/>
        <w:jc w:val="both"/>
        <w:rPr/>
      </w:pPr>
      <w:r>
        <w:rPr/>
      </w:r>
    </w:p>
    <w:tbl>
      <w:tblPr>
        <w:jc w:val="left"/>
        <w:tblInd w:type="dxa" w:w="50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val="nil"/>
          <w:insideV w:val="nil"/>
        </w:tblBorders>
        <w:tblCellMar>
          <w:top w:type="dxa" w:w="55"/>
          <w:left w:type="dxa" w:w="48"/>
          <w:bottom w:type="dxa" w:w="55"/>
          <w:right w:type="dxa" w:w="55"/>
        </w:tblCellMar>
      </w:tblPr>
      <w:tblGrid>
        <w:gridCol w:w="675"/>
        <w:gridCol w:w="1018"/>
        <w:gridCol w:w="854"/>
        <w:gridCol w:w="737"/>
        <w:gridCol w:w="3557"/>
        <w:gridCol w:w="1030"/>
        <w:gridCol w:w="1202"/>
      </w:tblGrid>
      <w:tr>
        <w:trPr>
          <w:trHeight w:hRule="atLeast" w:val="420"/>
          <w:cantSplit w:val="false"/>
        </w:trPr>
        <w:tc>
          <w:tcPr>
            <w:tcW w:type="dxa" w:w="67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type="dxa" w:w="101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Marca</w:t>
            </w:r>
          </w:p>
        </w:tc>
        <w:tc>
          <w:tcPr>
            <w:tcW w:type="dxa" w:w="854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type="dxa" w:w="355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Especificação Detalhada</w:t>
            </w:r>
          </w:p>
        </w:tc>
        <w:tc>
          <w:tcPr>
            <w:tcW w:type="dxa" w:w="1030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V. Unit.</w:t>
            </w:r>
          </w:p>
        </w:tc>
        <w:tc>
          <w:tcPr>
            <w:tcW w:type="dxa" w:w="120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CCCCCC" w:val="clear"/>
            <w:tcMar>
              <w:left w:type="dxa" w:w="48"/>
            </w:tcMar>
          </w:tcPr>
          <w:p>
            <w:pPr>
              <w:pStyle w:val="style41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V. Total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85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55</w:t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BALUN Conversor de Impedância de 120 para 75 Ohms. </w:t>
              <w:br/>
              <w:t xml:space="preserve">Para uso em placas de telefonia digitais com canais E1/T1/J1 </w:t>
              <w:br/>
              <w:t xml:space="preserve">Taxas de Dados de até 2.048 Mbps </w:t>
              <w:br/>
              <w:t xml:space="preserve">Transforma de coaxial duplo (tx/rx) 75 Ohms para par trançado 120 Ohms </w:t>
            </w:r>
          </w:p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Conversão bidirecional </w:t>
              <w:br/>
              <w:t xml:space="preserve">Não utiliza alimentação elétrica </w:t>
              <w:br/>
              <w:t>Pequenas dimensões Balun transforma os dois cabos coaxiais que a operadora telefônica instala para cada canal E1, em um conector padrão RJ45 que, com o um patch cord comum é conectado às placas telefônicas digitais para Asterisk ou SER da Digivoice, Openvox ou Digium. O balun obedece à especificação ITU G.703.</w:t>
              <w:br/>
              <w:t>Pedido Mínimo (1)</w:t>
            </w:r>
          </w:p>
        </w:tc>
        <w:tc>
          <w:tcPr>
            <w:tcW w:type="dxa" w:w="10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85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Placa E1 DigiVoice VB6060PCI</w:t>
              <w:br/>
              <w:t>Pedido Mínimo (1)</w:t>
            </w:r>
          </w:p>
        </w:tc>
        <w:tc>
          <w:tcPr>
            <w:tcW w:type="dxa" w:w="10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85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Placa E1 DigiVoice VB6060PCI-E X1 perfil baixo</w:t>
              <w:br/>
              <w:t>Pedido Mínimo (1)</w:t>
            </w:r>
          </w:p>
        </w:tc>
        <w:tc>
          <w:tcPr>
            <w:tcW w:type="dxa" w:w="10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85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PLACA E1 PARA 30 CANAIS, placa E1 igual ou equivalente a Khomp K1E1 SPX com a placa adicional de cancelamento de eco VEC-30;</w:t>
              <w:br/>
              <w:t>Compatível com Asterisk e Debian 7 e Debian 8;</w:t>
              <w:br/>
              <w:t xml:space="preserve">Interface digital E1 com 30 canais; </w:t>
              <w:br/>
              <w:t>Protocolos de rede: RDSI e R2 (com 30 trocadores de sinalização MFC);</w:t>
              <w:br/>
              <w:t>Protocolo de PABX: EL7, Line Side, QSIG (SSCT) e E1LC;</w:t>
              <w:br/>
              <w:t>Geração de sinais de 425Hz (cadências) e DTMF;</w:t>
              <w:br/>
              <w:t xml:space="preserve">Detecção de discagem DTMF e pulsos decádicos; </w:t>
              <w:br/>
              <w:t>Detecção de sinal de fax e de caixa postal (sinalização padrão: 600Hz/450ms – 1000Hz/450ms);</w:t>
              <w:br/>
              <w:t>Detecção de tom de fax, silêncio e presença de áudio (antes e depois do atendimento);</w:t>
              <w:br/>
              <w:t>Supressão de discagem DTMF em ligações estabelecidas;</w:t>
              <w:br/>
              <w:t>Cancelamento de eco nos 30 canais simultaneamente, independente do uso de outros recursos de hardware;</w:t>
              <w:br/>
              <w:t>Cancelamento de eco com delay de 64ms (512 TAPS) em todos os canais; simultaneamente, convergência e ajuste de delay automáticos durante toda a ligação;</w:t>
              <w:br/>
              <w:t>Deve fornecer informações de sinalização e estado dos canais;</w:t>
              <w:br/>
              <w:t>Filtro de ligações a cobrar, para todas as ligações ou por chamada, baseado no tom de chamada a cobrar;</w:t>
              <w:br/>
              <w:t>Detecção de atendimento disponível via dialplan e interface AMI;</w:t>
              <w:br/>
              <w:t>Suporte a "bridging nativo", conectando diretamente o áudio entre canais da mesma placa</w:t>
              <w:br/>
              <w:t>Suporte a gravações em modo "bridging nativo";</w:t>
              <w:br/>
              <w:t>Agrupamento de canais em rotas de saída ou bidirecionais (saída e entrada);</w:t>
              <w:br/>
              <w:t>Balanceamento de ligações entre canais de uma ou mais rotas de saída;</w:t>
              <w:br/>
              <w:t>Interface PCI.</w:t>
              <w:br/>
              <w:t>Interface E1 com conectores BNC, com impedância de 75 Ohms;</w:t>
              <w:br/>
              <w:t xml:space="preserve">Placa adicional para cancelamento de eco até 64ms (512 TAPS) em 30 canais simultaneamente; </w:t>
              <w:br/>
              <w:t>Certificação Anatel;</w:t>
              <w:br/>
              <w:t>Garantia de fábrica: 3 anos;</w:t>
              <w:br/>
              <w:t>Suporte no Brasil.</w:t>
              <w:br/>
              <w:t>Pedido Mínimo (1)</w:t>
            </w:r>
          </w:p>
        </w:tc>
        <w:tc>
          <w:tcPr>
            <w:tcW w:type="dxa" w:w="10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85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38</w:t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CABO COAXIAL BNC Reto 2 Metros</w:t>
              <w:br/>
              <w:t xml:space="preserve">Cabo Coaxial BNC Reto RF-75 75 Ohms 0,4X2,5 mm 2 metros </w:t>
              <w:br/>
              <w:t>Utilizado para ligar os modens dos troncos E1 das operadoras às placas E1 do PABX IP.</w:t>
              <w:br/>
              <w:t>Pedido Mínimo (1)</w:t>
            </w:r>
          </w:p>
        </w:tc>
        <w:tc>
          <w:tcPr>
            <w:tcW w:type="dxa" w:w="10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type="dxa" w:w="101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85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Unid.</w:t>
            </w:r>
          </w:p>
        </w:tc>
        <w:tc>
          <w:tcPr>
            <w:tcW w:type="dxa" w:w="73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56</w:t>
            </w:r>
          </w:p>
        </w:tc>
        <w:tc>
          <w:tcPr>
            <w:tcW w:type="dxa" w:w="355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CABO COAXIAL BNC Reto 4 Metros</w:t>
              <w:br/>
              <w:t xml:space="preserve">Cabo Coaxial BNC Reto RF-75 75 Ohms 0,4X2,5 mm 2 metros </w:t>
              <w:br/>
              <w:t>Utilizado para ligar os modens dos troncos E1 das operadoras às placas E1 do PABX IP.</w:t>
              <w:br/>
              <w:t>Pedido Mínimo (1)</w:t>
            </w:r>
          </w:p>
        </w:tc>
        <w:tc>
          <w:tcPr>
            <w:tcW w:type="dxa" w:w="10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type="dxa" w:w="120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7872"/>
            <w:gridSpan w:val="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type="dxa" w:w="1201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contextualSpacing w:val="false"/>
        <w:jc w:val="both"/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  <w:t>ÓRGÃO(S) PARTICIPANTE(S)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São órgãos e entidades públicas participantes do registro de preços: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i/>
          <w:color w:val="000000"/>
          <w:sz w:val="22"/>
          <w:szCs w:val="22"/>
        </w:rPr>
      </w:pPr>
      <w:r>
        <w:rPr>
          <w:rFonts w:ascii="Calibri" w:cs="Arial" w:hAnsi="Calibri"/>
          <w:i/>
          <w:color w:val="000000"/>
          <w:sz w:val="22"/>
          <w:szCs w:val="22"/>
        </w:rPr>
        <w:t xml:space="preserve">IFMT - </w:t>
      </w:r>
      <w:r>
        <w:rPr>
          <w:rFonts w:ascii="Calibri" w:cs="Arial" w:hAnsi="Calibri"/>
          <w:b/>
          <w:bCs/>
          <w:i/>
          <w:color w:val="000000"/>
          <w:sz w:val="22"/>
          <w:szCs w:val="22"/>
        </w:rPr>
        <w:t>Alta Floresta</w:t>
      </w:r>
      <w:r>
        <w:rPr>
          <w:rFonts w:ascii="Calibri" w:cs="Arial" w:hAnsi="Calibri"/>
          <w:i/>
          <w:color w:val="000000"/>
          <w:sz w:val="22"/>
          <w:szCs w:val="22"/>
        </w:rPr>
        <w:t xml:space="preserve"> - Rua A, Bairro: Setor A, 198, Primeiro Andar - CEP: 78580-000, Telefone: (66) 3512-7000, Alta Floresta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Barra do Garças</w:t>
      </w:r>
      <w:r>
        <w:rPr>
          <w:rFonts w:ascii="Calibri" w:hAnsi="Calibri"/>
          <w:color w:val="000000"/>
          <w:sz w:val="22"/>
          <w:szCs w:val="22"/>
        </w:rPr>
        <w:t xml:space="preserve"> - Estrada de acesso a BR-158, Radial José Mauricio Zampa, s/n - CEP: 78600-000, Telefone: (66) 3402-0100, Barra do Garças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Cáceres</w:t>
      </w:r>
      <w:r>
        <w:rPr>
          <w:rFonts w:ascii="Calibri" w:hAnsi="Calibri"/>
          <w:color w:val="000000"/>
          <w:sz w:val="22"/>
          <w:szCs w:val="22"/>
        </w:rPr>
        <w:t xml:space="preserve"> - Av. dos Ramires, s/n - CEP: 78200-000, Telefone: (65) 3221-2600, Cáceres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Campus Cuiabá </w:t>
      </w:r>
      <w:r>
        <w:rPr>
          <w:rFonts w:ascii="Calibri" w:hAnsi="Calibri"/>
          <w:color w:val="000000"/>
          <w:sz w:val="22"/>
          <w:szCs w:val="22"/>
        </w:rPr>
        <w:t>- Rua Profa. Zulmira Canavarros, 93 - CEP: 78605-200, Telefone: (65) 3318-1400, Cuiabá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Confresa</w:t>
      </w:r>
      <w:r>
        <w:rPr>
          <w:rFonts w:ascii="Calibri" w:hAnsi="Calibri"/>
          <w:color w:val="000000"/>
          <w:sz w:val="22"/>
          <w:szCs w:val="22"/>
        </w:rPr>
        <w:t xml:space="preserve"> - Av. VIlmar Fernandes, 300 - CEP: 78652-000, Telefone: (66) 3564-2600, Confresa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Campo Novo do Parecis</w:t>
      </w:r>
      <w:r>
        <w:rPr>
          <w:rFonts w:ascii="Calibri" w:hAnsi="Calibri"/>
          <w:color w:val="000000"/>
          <w:sz w:val="22"/>
          <w:szCs w:val="22"/>
        </w:rPr>
        <w:t xml:space="preserve"> - MT 235 Km 12, s/n - CEP: 78360-000, Telefone: (65) 3382-6200, Campo Novo do Parecis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Diamantino</w:t>
      </w:r>
      <w:r>
        <w:rPr>
          <w:rFonts w:ascii="Calibri" w:hAnsi="Calibri"/>
          <w:color w:val="000000"/>
          <w:sz w:val="22"/>
          <w:szCs w:val="22"/>
        </w:rPr>
        <w:t xml:space="preserve"> - Rodovia Roberto Campos - Novo Diamantino, None - CEP: 78400-970, Telefone: (65) 3337-1005, Diamantino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Guarantã do Norte</w:t>
      </w:r>
      <w:r>
        <w:rPr>
          <w:rFonts w:ascii="Calibri" w:hAnsi="Calibri"/>
          <w:color w:val="000000"/>
          <w:sz w:val="22"/>
          <w:szCs w:val="22"/>
        </w:rPr>
        <w:t xml:space="preserve"> - Rua Cambará nº 1.145, Centro - CEP: 78520-000, Telefone: (65) 9649-9668, Guarantã do Norte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Juína</w:t>
      </w:r>
      <w:r>
        <w:rPr>
          <w:rFonts w:ascii="Calibri" w:hAnsi="Calibri"/>
          <w:color w:val="000000"/>
          <w:sz w:val="22"/>
          <w:szCs w:val="22"/>
        </w:rPr>
        <w:t xml:space="preserve"> - Linha J, s/n - CEP: 78320-000, Telefone: (66) 3566-7300, Juína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Lucas do Rio Verde</w:t>
      </w:r>
      <w:r>
        <w:rPr>
          <w:rFonts w:ascii="Calibri" w:hAnsi="Calibri"/>
          <w:color w:val="000000"/>
          <w:sz w:val="22"/>
          <w:szCs w:val="22"/>
        </w:rPr>
        <w:t xml:space="preserve"> - Avenida Universitária 1600-W - Bairro: Parque das Emas - CEP: 78455-000, Telefone: (65) 9686-6126, Lucas do Rio Verde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Primavera do Leste</w:t>
      </w:r>
      <w:r>
        <w:rPr>
          <w:rFonts w:ascii="Calibri" w:hAnsi="Calibri"/>
          <w:color w:val="000000"/>
          <w:sz w:val="22"/>
          <w:szCs w:val="22"/>
        </w:rPr>
        <w:t xml:space="preserve"> - AVENIDA SANTO ANTÔNIO, Nº 1.075, Parque Eldorado – Primavera do Leste – MT. Telefone: (66)3498-2716.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Pontes e Lacerda</w:t>
      </w:r>
      <w:r>
        <w:rPr>
          <w:rFonts w:ascii="Calibri" w:hAnsi="Calibri"/>
          <w:color w:val="000000"/>
          <w:sz w:val="22"/>
          <w:szCs w:val="22"/>
        </w:rPr>
        <w:t xml:space="preserve"> - Rodovia MT-473, s/n - CEP: 78250-000, Telefone: (65) 32668200/3266-8241, Pontes e Lacerda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Rondonópolis</w:t>
      </w:r>
      <w:r>
        <w:rPr>
          <w:rFonts w:ascii="Calibri" w:hAnsi="Calibri"/>
          <w:color w:val="000000"/>
          <w:sz w:val="22"/>
          <w:szCs w:val="22"/>
        </w:rPr>
        <w:t xml:space="preserve"> - Rua Ananias Martins de Souza, nº 861 – Vila Mineira, Rondonópolis – MT . Telefone: (66)3427-2309.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Reitoria</w:t>
      </w:r>
      <w:r>
        <w:rPr>
          <w:rFonts w:ascii="Calibri" w:hAnsi="Calibri"/>
          <w:color w:val="000000"/>
          <w:sz w:val="22"/>
          <w:szCs w:val="22"/>
        </w:rPr>
        <w:t xml:space="preserve"> - Avenida Sen. Filinto Müller, 953 - Bairro: Duque de Caxias - CEP: 78043-400, Telefone: (65) 3616-4100, Cuiabá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Sinop</w:t>
      </w:r>
      <w:r>
        <w:rPr>
          <w:rFonts w:ascii="Calibri" w:hAnsi="Calibri"/>
          <w:color w:val="000000"/>
          <w:sz w:val="22"/>
          <w:szCs w:val="22"/>
        </w:rPr>
        <w:t xml:space="preserve"> - Rua das Avencas, 2377, Setor Comercial, Centro - CEP: 78557-477-000, Telefone: (65) 9952-0013, Sinop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IFMT - </w:t>
      </w:r>
      <w:r>
        <w:rPr>
          <w:rFonts w:ascii="Calibri" w:hAnsi="Calibri"/>
          <w:b/>
          <w:bCs/>
          <w:color w:val="000000"/>
          <w:sz w:val="22"/>
          <w:szCs w:val="22"/>
        </w:rPr>
        <w:t>Campus Sorriso</w:t>
      </w:r>
      <w:r>
        <w:rPr>
          <w:rFonts w:ascii="Calibri" w:hAnsi="Calibri"/>
          <w:color w:val="000000"/>
          <w:sz w:val="22"/>
          <w:szCs w:val="22"/>
        </w:rPr>
        <w:t xml:space="preserve"> - Av. dos Universitários, 799, Bairro: Santa Clara - CEP: 78890-000, Telefone: (65) 9961-2297 - (65) 9985-6928, Sorriso / MT.</w:t>
      </w:r>
    </w:p>
    <w:p>
      <w:pPr>
        <w:pStyle w:val="style0"/>
        <w:widowControl/>
        <w:numPr>
          <w:ilvl w:val="2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IFMT - </w:t>
      </w:r>
      <w:r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  <w:t>Campus Tangará da Serra</w:t>
      </w: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 - Rua 28, 980 N - CEP: 78300-000, Telefone: (65) 3311-8500, Tangará da Serra / MT.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b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VALIDADE DA ATA</w:t>
      </w:r>
      <w:r>
        <w:rPr>
          <w:rFonts w:ascii="Calibri" w:cs="Arial" w:hAnsi="Calibri"/>
          <w:b/>
          <w:color w:val="000000"/>
          <w:sz w:val="22"/>
          <w:szCs w:val="22"/>
        </w:rPr>
        <w:t xml:space="preserve"> 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A validade da Ata de Registro de Preços será de </w:t>
      </w:r>
      <w:r>
        <w:rPr>
          <w:rFonts w:ascii="Calibri" w:cs="Arial" w:hAnsi="Calibri"/>
          <w:i/>
          <w:color w:val="000000"/>
          <w:sz w:val="22"/>
          <w:szCs w:val="22"/>
        </w:rPr>
        <w:t>12 meses</w:t>
      </w:r>
      <w:r>
        <w:rPr>
          <w:rFonts w:ascii="Calibri" w:cs="Arial" w:hAnsi="Calibri"/>
          <w:color w:val="000000"/>
          <w:sz w:val="22"/>
          <w:szCs w:val="22"/>
        </w:rPr>
        <w:t>, a partir da sua assinatura, não podendo ser prorrogada.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REVISÃO E CANCELAMENTO</w:t>
      </w:r>
      <w:r>
        <w:rPr>
          <w:rFonts w:ascii="Calibri" w:cs="Arial" w:hAnsi="Calibri"/>
          <w:iCs/>
          <w:color w:val="000000"/>
          <w:sz w:val="22"/>
          <w:szCs w:val="22"/>
        </w:rPr>
        <w:t xml:space="preserve"> </w:t>
      </w:r>
    </w:p>
    <w:p>
      <w:pPr>
        <w:pStyle w:val="style36"/>
        <w:numPr>
          <w:ilvl w:val="1"/>
          <w:numId w:val="1"/>
        </w:numPr>
        <w:spacing w:after="120" w:before="120" w:line="276" w:lineRule="auto"/>
        <w:ind w:hanging="432" w:left="1283" w:right="0"/>
        <w:contextualSpacing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Os preços registrados poderão ser revistos em decorrência de eventual redução dos preços praticados no mercado ou de fato que eleve o custo do objeto registrado, cabendo à Administração promover as negociações junto ao(s) fornecedor(es).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fornecedor que não aceitar reduzir seu preço ao valor praticado pelo mercado será liberado do compromisso assumido, sem aplicação de penalidade.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ordem de classificação dos fornecedores que aceitarem reduzir seus preços aos valores de mercado observará a classificação original.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de mercado tornar-se superior aos preços registrados e o fornecedor não puder cumprir o compromisso, o órgão gerenciador poderá: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Convocar os demais fornecedores para assegurar igual oportunidade de negociação.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registro do fornecedor será cancelado quando: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Descumprir as condições da ata de registro de preços;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retirar a nota de empenho ou instrumento equivalente no prazo estabelecido pela Administração, sem justificativa aceitável;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aceitar reduzir o seu preço registrado, na hipótese deste se tornar superior àqueles praticados no mercado;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Sofrer sanção administrativa cujo efeito torne-o proibido de celebrar contrato administrativo, alcançando o órgão gerenciador e órgão(s) participante(s).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de registros nas hipóteses previstas nos itens 5.7.1, 5.7.2 e 5.7.4 será formalizado por despacho do órgão gerenciador, assegurado o contraditório e a ampla defesa.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Por razão de interesse público;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pedido do fornecedor.</w:t>
      </w:r>
    </w:p>
    <w:p>
      <w:pPr>
        <w:pStyle w:val="style0"/>
        <w:widowControl/>
        <w:numPr>
          <w:ilvl w:val="0"/>
          <w:numId w:val="1"/>
        </w:numPr>
        <w:suppressAutoHyphens w:val="true"/>
        <w:spacing w:after="120" w:before="120" w:line="276" w:lineRule="auto"/>
        <w:contextualSpacing w:val="false"/>
        <w:jc w:val="both"/>
        <w:rPr>
          <w:rFonts w:ascii="Calibri" w:cs="Arial" w:hAnsi="Calibri"/>
          <w:b/>
          <w:b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DA FORMAÇÃO DO CADASTRO DE RESERVA</w:t>
      </w:r>
    </w:p>
    <w:p>
      <w:pPr>
        <w:pStyle w:val="style0"/>
        <w:widowControl/>
        <w:numPr>
          <w:ilvl w:val="1"/>
          <w:numId w:val="1"/>
        </w:numPr>
        <w:suppressAutoHyphens w:val="true"/>
        <w:spacing w:after="120" w:before="120" w:line="276" w:lineRule="auto"/>
        <w:contextualSpacing w:val="false"/>
        <w:jc w:val="both"/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</w:pPr>
      <w:r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  <w:t>Os critérios de formação do cadastro de reserva estão previstos no Item 20 do Edital.</w:t>
      </w:r>
    </w:p>
    <w:p>
      <w:pPr>
        <w:pStyle w:val="style0"/>
        <w:spacing w:after="120" w:before="120" w:line="276" w:lineRule="auto"/>
        <w:ind w:hanging="0" w:left="425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numPr>
          <w:ilvl w:val="0"/>
          <w:numId w:val="1"/>
        </w:numPr>
        <w:jc w:val="both"/>
        <w:rPr>
          <w:rFonts w:ascii="Calibri" w:cs="Arial" w:hAnsi="Calibri"/>
          <w:b/>
          <w:bCs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CONDIÇÕES GERAIS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É vedado efetuar acréscimos nos quantitativos fixados nesta ata de registro de preços, inclusive o acréscimo de que trata o § 1º do art</w:t>
      </w:r>
      <w:r>
        <w:rPr>
          <w:rFonts w:ascii="Calibri" w:cs="Arial" w:hAnsi="Calibri"/>
          <w:color w:val="000000"/>
          <w:sz w:val="22"/>
          <w:szCs w:val="22"/>
        </w:rPr>
        <w:t>. 65 da Lei nº 8.666/93.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pStyle w:val="style0"/>
        <w:widowControl w:val="false"/>
        <w:spacing w:after="0" w:before="240"/>
        <w:ind w:hanging="0" w:left="567" w:right="-15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Para firmeza e validade do pactuado, a presente Ata foi lavrada em 02 (duas) vias de igual teor, que, depois de lida e achada em ordem, vai assinada pelas partes </w:t>
      </w: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e encaminhada cópia aos demais órgãos participantes. </w:t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Local e data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Assinaturas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Representante legal do órgão gerenciador e representante(s) legal(is) do(s) fornecedor(s) registrado(s)</w:t>
      </w:r>
    </w:p>
    <w:p>
      <w:pPr>
        <w:pStyle w:val="style0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footerReference r:id="rId3" w:type="default"/>
      <w:type w:val="nextPage"/>
      <w:pgSz w:h="16838" w:w="11906"/>
      <w:pgMar w:bottom="1418" w:footer="708" w:gutter="0" w:header="0" w:left="1701" w:right="1134" w:top="141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8"/>
      <w:rPr>
        <w:rFonts w:ascii="Times New Roman" w:cs="Times New Roman" w:hAnsi="Times New Roman"/>
      </w:rPr>
    </w:pPr>
    <w:r>
      <w:rPr>
        <w:rFonts w:ascii="Times New Roman" w:cs="Times New Roman" w:hAnsi="Times New Roman"/>
      </w:rPr>
      <w:t>____________________________________________________________________</w:t>
    </w:r>
  </w:p>
  <w:p>
    <w:pPr>
      <w:pStyle w:val="style38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Comissão Permanente de Atualização de Editais da Consultoria-Geral da União</w:t>
    </w:r>
  </w:p>
  <w:p>
    <w:pPr>
      <w:pStyle w:val="style38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Ata de Registro de Preços – modelo – pregão compras</w:t>
    </w:r>
  </w:p>
  <w:p>
    <w:pPr>
      <w:pStyle w:val="style38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Atualização: Janeiro/2016</w:t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360"/>
      </w:pPr>
      <w:rPr>
        <w:b/>
      </w:rPr>
    </w:lvl>
    <w:lvl w:ilvl="1">
      <w:start w:val="1"/>
      <w:numFmt w:val="decimal"/>
      <w:lvlText w:val="%1.%2."/>
      <w:lvlJc w:val="left"/>
      <w:pPr>
        <w:ind w:hanging="432" w:left="1283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hanging="504" w:left="1497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Ecofont_Spranq_eco_Sans" w:cs="Tahoma" w:eastAsia="Times New Roman" w:hAnsi="Ecofont_Spranq_eco_Sans"/>
      <w:color w:val="00000A"/>
      <w:sz w:val="24"/>
      <w:szCs w:val="24"/>
      <w:lang w:bidi="ar-SA" w:eastAsia="pt-BR" w:val="pt-BR"/>
    </w:rPr>
  </w:style>
  <w:style w:styleId="style15" w:type="character">
    <w:name w:val="Default Paragraph Font"/>
    <w:next w:val="style15"/>
    <w:rPr/>
  </w:style>
  <w:style w:styleId="style16" w:type="character">
    <w:name w:val="Grade Colorida - Ênfase 1 Char"/>
    <w:next w:val="style16"/>
    <w:rPr>
      <w:rFonts w:ascii="Ecofont_Spranq_eco_Sans" w:cs="Tahoma" w:eastAsia="Calibri" w:hAnsi="Ecofont_Spranq_eco_Sans"/>
      <w:i/>
      <w:iCs/>
      <w:color w:val="000000"/>
      <w:szCs w:val="24"/>
      <w:lang w:bidi="ar-SA" w:eastAsia="en-US" w:val="pt-BR"/>
    </w:rPr>
  </w:style>
  <w:style w:styleId="style17" w:type="character">
    <w:name w:val="Body Text Char"/>
    <w:next w:val="style17"/>
    <w:rPr>
      <w:sz w:val="24"/>
      <w:szCs w:val="24"/>
    </w:rPr>
  </w:style>
  <w:style w:styleId="style18" w:type="character">
    <w:name w:val="Link da Internet"/>
    <w:next w:val="style18"/>
    <w:rPr>
      <w:color w:val="0000FF"/>
      <w:u w:val="single"/>
      <w:lang w:bidi="zxx-" w:eastAsia="zxx-" w:val="zxx-"/>
    </w:rPr>
  </w:style>
  <w:style w:styleId="style19" w:type="character">
    <w:name w:val="Header Char"/>
    <w:basedOn w:val="style15"/>
    <w:next w:val="style19"/>
    <w:rPr>
      <w:rFonts w:ascii="Ecofont_Spranq_eco_Sans" w:cs="Tahoma" w:hAnsi="Ecofont_Spranq_eco_Sans"/>
      <w:sz w:val="24"/>
      <w:szCs w:val="24"/>
    </w:rPr>
  </w:style>
  <w:style w:styleId="style20" w:type="character">
    <w:name w:val="Footer Char"/>
    <w:basedOn w:val="style15"/>
    <w:next w:val="style20"/>
    <w:rPr>
      <w:rFonts w:ascii="Ecofont_Spranq_eco_Sans" w:cs="Tahoma" w:hAnsi="Ecofont_Spranq_eco_Sans"/>
      <w:sz w:val="24"/>
      <w:szCs w:val="24"/>
    </w:rPr>
  </w:style>
  <w:style w:styleId="style21" w:type="character">
    <w:name w:val="citação 2 Char"/>
    <w:next w:val="style21"/>
    <w:rPr>
      <w:rFonts w:ascii="Ecofont_Spranq_eco_Sans" w:cs="Tahoma" w:eastAsia="Calibri" w:hAnsi="Ecofont_Spranq_eco_Sans"/>
      <w:i/>
      <w:iCs/>
      <w:color w:val="000000"/>
      <w:sz w:val="24"/>
      <w:szCs w:val="24"/>
      <w:shd w:fill="FFFFCC" w:val="clear"/>
      <w:lang w:eastAsia="en-US"/>
    </w:rPr>
  </w:style>
  <w:style w:styleId="style22" w:type="character">
    <w:name w:val="Quote Char"/>
    <w:basedOn w:val="style15"/>
    <w:next w:val="style22"/>
    <w:rPr>
      <w:rFonts w:ascii="Ecofont_Spranq_eco_Sans" w:cs="Tahoma" w:hAnsi="Ecofont_Spranq_eco_Sans"/>
      <w:i/>
      <w:iCs/>
      <w:color w:val="000000"/>
      <w:sz w:val="24"/>
      <w:szCs w:val="24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sz w:val="20"/>
      <w:szCs w:val="20"/>
    </w:rPr>
  </w:style>
  <w:style w:styleId="style25" w:type="character">
    <w:name w:val="ListLabel 3"/>
    <w:next w:val="style25"/>
    <w:rPr>
      <w:rFonts w:cs="Courier New"/>
    </w:rPr>
  </w:style>
  <w:style w:styleId="style26" w:type="character">
    <w:name w:val="ListLabel 4"/>
    <w:next w:val="style26"/>
    <w:rPr>
      <w:b/>
    </w:rPr>
  </w:style>
  <w:style w:styleId="style27" w:type="character">
    <w:name w:val="ListLabel 5"/>
    <w:next w:val="style27"/>
    <w:rPr>
      <w:sz w:val="20"/>
      <w:szCs w:val="20"/>
    </w:rPr>
  </w:style>
  <w:style w:styleId="style28" w:type="character">
    <w:name w:val="ListLabel 6"/>
    <w:next w:val="style28"/>
    <w:rPr>
      <w:b/>
    </w:rPr>
  </w:style>
  <w:style w:styleId="style29" w:type="character">
    <w:name w:val="ListLabel 7"/>
    <w:next w:val="style29"/>
    <w:rPr>
      <w:sz w:val="20"/>
      <w:szCs w:val="20"/>
    </w:rPr>
  </w:style>
  <w:style w:styleId="style30" w:type="paragraph">
    <w:name w:val="Título"/>
    <w:basedOn w:val="style0"/>
    <w:next w:val="style31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1" w:type="paragraph">
    <w:name w:val="Corpo do texto"/>
    <w:basedOn w:val="style0"/>
    <w:next w:val="style31"/>
    <w:pPr>
      <w:spacing w:after="28" w:before="28"/>
      <w:contextualSpacing w:val="false"/>
    </w:pPr>
    <w:rPr>
      <w:rFonts w:ascii="Times New Roman" w:cs="Times New Roman" w:hAnsi="Times New Roman"/>
    </w:rPr>
  </w:style>
  <w:style w:styleId="style32" w:type="paragraph">
    <w:name w:val="Lista"/>
    <w:basedOn w:val="style31"/>
    <w:next w:val="style32"/>
    <w:pPr/>
    <w:rPr>
      <w:rFonts w:cs="Mangal"/>
    </w:rPr>
  </w:style>
  <w:style w:styleId="style33" w:type="paragraph">
    <w:name w:val="Legenda"/>
    <w:basedOn w:val="style0"/>
    <w:next w:val="style3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4" w:type="paragraph">
    <w:name w:val="Índice"/>
    <w:basedOn w:val="style0"/>
    <w:next w:val="style34"/>
    <w:pPr>
      <w:suppressLineNumbers/>
    </w:pPr>
    <w:rPr>
      <w:rFonts w:cs="Mangal"/>
    </w:rPr>
  </w:style>
  <w:style w:styleId="style35" w:type="paragraph">
    <w:name w:val="Grade Colorida - Ênfase 11"/>
    <w:basedOn w:val="style0"/>
    <w:next w:val="style35"/>
    <w:pPr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pacing w:after="0" w:before="120"/>
      <w:contextualSpacing w:val="false"/>
      <w:jc w:val="both"/>
    </w:pPr>
    <w:rPr>
      <w:rFonts w:eastAsia="Calibri"/>
      <w:i/>
      <w:iCs/>
      <w:color w:val="000000"/>
      <w:sz w:val="20"/>
      <w:lang w:eastAsia="en-US"/>
    </w:rPr>
  </w:style>
  <w:style w:styleId="style36" w:type="paragraph">
    <w:name w:val="List Paragraph"/>
    <w:basedOn w:val="style0"/>
    <w:next w:val="style36"/>
    <w:pPr>
      <w:spacing w:after="0" w:before="0"/>
      <w:ind w:hanging="0" w:left="720" w:right="0"/>
      <w:contextualSpacing/>
    </w:pPr>
    <w:rPr/>
  </w:style>
  <w:style w:styleId="style37" w:type="paragraph">
    <w:name w:val="Cabeçalho"/>
    <w:basedOn w:val="style0"/>
    <w:next w:val="style37"/>
    <w:pPr>
      <w:tabs>
        <w:tab w:leader="none" w:pos="4252" w:val="center"/>
        <w:tab w:leader="none" w:pos="8504" w:val="right"/>
      </w:tabs>
    </w:pPr>
    <w:rPr/>
  </w:style>
  <w:style w:styleId="style38" w:type="paragraph">
    <w:name w:val="Rodapé"/>
    <w:basedOn w:val="style0"/>
    <w:next w:val="style38"/>
    <w:pPr>
      <w:tabs>
        <w:tab w:leader="none" w:pos="4252" w:val="center"/>
        <w:tab w:leader="none" w:pos="8504" w:val="right"/>
      </w:tabs>
    </w:pPr>
    <w:rPr/>
  </w:style>
  <w:style w:styleId="style39" w:type="paragraph">
    <w:name w:val="citação 2"/>
    <w:next w:val="style39"/>
    <w:pPr>
      <w:widowControl w:val="false"/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uppressAutoHyphens w:val="true"/>
      <w:spacing w:after="0" w:before="120"/>
      <w:contextualSpacing w:val="false"/>
      <w:jc w:val="both"/>
    </w:pPr>
    <w:rPr>
      <w:rFonts w:ascii="Times New Roman" w:cs="Times New Roman" w:eastAsia="Calibri" w:hAnsi="Times New Roman"/>
      <w:color w:val="000000"/>
      <w:sz w:val="20"/>
      <w:szCs w:val="20"/>
      <w:lang w:bidi="ar-SA" w:eastAsia="en-US" w:val="pt-BR"/>
    </w:rPr>
  </w:style>
  <w:style w:styleId="style40" w:type="paragraph">
    <w:name w:val="Quote"/>
    <w:basedOn w:val="style0"/>
    <w:next w:val="style40"/>
    <w:pPr/>
    <w:rPr>
      <w:i/>
      <w:iCs/>
      <w:color w:val="000000"/>
    </w:rPr>
  </w:style>
  <w:style w:styleId="style41" w:type="paragraph">
    <w:name w:val="Conteúdo da tabela"/>
    <w:basedOn w:val="style0"/>
    <w:next w:val="style4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5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2013-03-28T21:50:00Z</dcterms:created>
  <dc:description>Texto idêntico ao modelo de serviços, salvo pela especificação do objeto contratado e da respectiva nota explicativa.</dc:description>
  <cp:lastModifiedBy>Manoel Paz e Silva Filho</cp:lastModifiedBy>
  <cp:lastPrinted>2016-12-06T16:10:13Z</cp:lastPrinted>
  <dcterms:modified xsi:type="dcterms:W3CDTF">2016-01-04T03:09:00Z</dcterms:modified>
  <cp:revision>19</cp:revision>
  <dc:title>MODELO</dc:title>
</cp:coreProperties>
</file>