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3.png" ContentType="image/png"/>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rPr/>
      </w:pPr>
      <w:r>
        <w:rPr/>
        <w:drawing>
          <wp:inline distB="0" distL="0" distR="0" distT="0">
            <wp:extent cx="668020" cy="615315"/>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668020" cy="615315"/>
                    </a:xfrm>
                    <a:prstGeom prst="rect">
                      <a:avLst/>
                    </a:prstGeom>
                    <a:noFill/>
                    <a:ln w="9525">
                      <a:noFill/>
                      <a:miter lim="800000"/>
                      <a:headEnd/>
                      <a:tailEnd/>
                    </a:ln>
                  </pic:spPr>
                </pic:pic>
              </a:graphicData>
            </a:graphic>
          </wp:inline>
        </w:drawing>
      </w:r>
    </w:p>
    <w:p>
      <w:pPr>
        <w:pStyle w:val="style0"/>
        <w:jc w:val="center"/>
        <w:rPr>
          <w:rFonts w:ascii="Calibri" w:cs="Arial" w:hAnsi="Calibri"/>
          <w:b/>
          <w:i w:val="false"/>
          <w:iCs w:val="false"/>
          <w:color w:val="000000"/>
          <w:sz w:val="22"/>
          <w:szCs w:val="22"/>
        </w:rPr>
      </w:pPr>
      <w:r>
        <w:rPr>
          <w:rFonts w:ascii="Calibri" w:cs="Arial" w:hAnsi="Calibri"/>
          <w:b/>
          <w:i w:val="false"/>
          <w:iCs w:val="false"/>
          <w:color w:val="000000"/>
          <w:sz w:val="22"/>
          <w:szCs w:val="22"/>
        </w:rPr>
        <w:t>SERVIÇO PÚBLICO FEDERAL</w:t>
      </w:r>
    </w:p>
    <w:p>
      <w:pPr>
        <w:pStyle w:val="style0"/>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 xml:space="preserve">INSTITUTO FEDERAL DE EDUCAÇÃO, CIÊNCIA E TECNOLOGIA DE MATO GROSSO </w:t>
      </w:r>
    </w:p>
    <w:p>
      <w:pPr>
        <w:pStyle w:val="style0"/>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CAMPUS SÃO VICENTE</w:t>
      </w:r>
    </w:p>
    <w:p>
      <w:pPr>
        <w:pStyle w:val="style0"/>
        <w:jc w:val="center"/>
        <w:rPr/>
      </w:pPr>
      <w:r>
        <w:rPr/>
      </w:r>
    </w:p>
    <w:p>
      <w:pPr>
        <w:pStyle w:val="style0"/>
        <w:jc w:val="center"/>
        <w:rPr>
          <w:rFonts w:cs="Arial"/>
          <w:b/>
          <w:bCs/>
          <w:color w:val="000000"/>
          <w:sz w:val="20"/>
          <w:szCs w:val="20"/>
        </w:rPr>
      </w:pPr>
      <w:r>
        <w:rPr>
          <w:rFonts w:cs="Arial"/>
          <w:b/>
          <w:bCs/>
          <w:color w:val="000000"/>
          <w:sz w:val="20"/>
          <w:szCs w:val="20"/>
        </w:rPr>
        <w:t>TERMO DE REFERÊNCIA</w:t>
      </w:r>
    </w:p>
    <w:p>
      <w:pPr>
        <w:pStyle w:val="style0"/>
        <w:jc w:val="center"/>
        <w:rPr>
          <w:rFonts w:cs="Arial"/>
          <w:b/>
          <w:bCs/>
          <w:sz w:val="20"/>
          <w:szCs w:val="20"/>
        </w:rPr>
      </w:pPr>
      <w:r>
        <w:rPr>
          <w:rFonts w:cs="Arial"/>
          <w:b/>
          <w:bCs/>
          <w:sz w:val="20"/>
          <w:szCs w:val="20"/>
        </w:rPr>
        <w:t>Sistema de Registro de Preços</w:t>
      </w:r>
    </w:p>
    <w:p>
      <w:pPr>
        <w:pStyle w:val="style0"/>
        <w:jc w:val="center"/>
        <w:rPr>
          <w:rFonts w:cs="Arial"/>
          <w:bCs/>
          <w:color w:val="000000"/>
          <w:sz w:val="20"/>
          <w:szCs w:val="20"/>
        </w:rPr>
      </w:pPr>
      <w:r>
        <w:rPr>
          <w:rFonts w:cs="Arial"/>
          <w:bCs/>
          <w:color w:val="000000"/>
          <w:sz w:val="20"/>
          <w:szCs w:val="20"/>
        </w:rPr>
        <w:t>(Processo Administrativo n.° 23197.032344.2016-07)</w:t>
      </w:r>
    </w:p>
    <w:p>
      <w:pPr>
        <w:pStyle w:val="style0"/>
        <w:spacing w:after="120" w:before="0" w:line="276" w:lineRule="auto"/>
        <w:ind w:hanging="0" w:left="0" w:right="-15"/>
        <w:contextualSpacing w:val="false"/>
        <w:jc w:val="center"/>
        <w:rPr>
          <w:rFonts w:cs="Arial"/>
          <w:b/>
          <w:bCs/>
          <w:color w:val="000000"/>
          <w:sz w:val="20"/>
          <w:szCs w:val="20"/>
        </w:rPr>
      </w:pPr>
      <w:r>
        <w:rPr>
          <w:rFonts w:cs="Arial"/>
          <w:b/>
          <w:bCs/>
          <w:color w:val="000000"/>
          <w:sz w:val="20"/>
          <w:szCs w:val="20"/>
        </w:rPr>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rPr>
      </w:pPr>
      <w:r>
        <w:rPr>
          <w:rFonts w:ascii="Calibri" w:cs="Arial" w:hAnsi="Calibri"/>
          <w:b/>
          <w:color w:val="000000"/>
          <w:sz w:val="22"/>
          <w:szCs w:val="22"/>
        </w:rPr>
        <w:t>DO OBJETO</w:t>
      </w:r>
    </w:p>
    <w:p>
      <w:pPr>
        <w:pStyle w:val="style0"/>
        <w:numPr>
          <w:ilvl w:val="1"/>
          <w:numId w:val="1"/>
        </w:numPr>
        <w:spacing w:after="120" w:before="120" w:line="276" w:lineRule="auto"/>
        <w:contextualSpacing w:val="false"/>
        <w:jc w:val="both"/>
        <w:rPr>
          <w:rFonts w:ascii="Calibri" w:cs="Arial" w:hAnsi="Calibri"/>
          <w:i w:val="false"/>
          <w:iCs w:val="false"/>
          <w:color w:val="000000"/>
          <w:sz w:val="22"/>
          <w:szCs w:val="22"/>
        </w:rPr>
      </w:pPr>
      <w:r>
        <w:rPr>
          <w:rFonts w:ascii="Calibri" w:cs="Arial" w:hAnsi="Calibri"/>
          <w:i w:val="false"/>
          <w:iCs w:val="false"/>
          <w:color w:val="000000"/>
          <w:sz w:val="22"/>
          <w:szCs w:val="22"/>
        </w:rPr>
        <w:t xml:space="preserve">Aquisição de </w:t>
      </w:r>
      <w:r>
        <w:rPr>
          <w:rFonts w:ascii="Calibri" w:cs="Arial" w:hAnsi="Calibri"/>
          <w:b/>
          <w:bCs/>
          <w:i w:val="false"/>
          <w:iCs w:val="false"/>
          <w:color w:val="000000"/>
          <w:sz w:val="22"/>
          <w:szCs w:val="22"/>
        </w:rPr>
        <w:t>MATERIAIS DE TELEFONIA IP</w:t>
      </w:r>
      <w:r>
        <w:rPr>
          <w:rFonts w:ascii="Calibri" w:cs="Arial" w:hAnsi="Calibri"/>
          <w:b/>
          <w:i w:val="false"/>
          <w:iCs w:val="false"/>
          <w:color w:val="000000"/>
          <w:sz w:val="22"/>
          <w:szCs w:val="22"/>
        </w:rPr>
        <w:t>,</w:t>
      </w:r>
      <w:r>
        <w:rPr>
          <w:rFonts w:ascii="Calibri" w:cs="Arial" w:hAnsi="Calibri"/>
          <w:i w:val="false"/>
          <w:iCs w:val="false"/>
          <w:color w:val="000000"/>
          <w:sz w:val="22"/>
          <w:szCs w:val="22"/>
        </w:rPr>
        <w:t xml:space="preserve"> conforme condições, quantidades, exigências e estimativas, inclusive as encaminhadas pelos órgãos e entidades participantes (quando for o caso), estabelecidas neste instrumento:</w:t>
      </w:r>
    </w:p>
    <w:tbl>
      <w:tblPr>
        <w:jc w:val="left"/>
        <w:tblInd w:type="dxa" w:w="45"/>
        <w:tblBorders>
          <w:top w:color="000001" w:space="0" w:sz="2" w:val="single"/>
          <w:left w:color="000001" w:space="0" w:sz="2" w:val="single"/>
          <w:bottom w:color="000001" w:space="0" w:sz="2" w:val="single"/>
          <w:insideH w:color="000001" w:space="0" w:sz="2" w:val="single"/>
          <w:right w:val="nil"/>
          <w:insideV w:val="nil"/>
        </w:tblBorders>
        <w:tblCellMar>
          <w:top w:type="dxa" w:w="55"/>
          <w:left w:type="dxa" w:w="42"/>
          <w:bottom w:type="dxa" w:w="55"/>
          <w:right w:type="dxa" w:w="55"/>
        </w:tblCellMar>
      </w:tblPr>
      <w:tblGrid>
        <w:gridCol w:w="675"/>
        <w:gridCol w:w="1018"/>
        <w:gridCol w:w="852"/>
        <w:gridCol w:w="737"/>
        <w:gridCol w:w="3557"/>
        <w:gridCol w:w="1029"/>
        <w:gridCol w:w="1204"/>
      </w:tblGrid>
      <w:tr>
        <w:trPr>
          <w:trHeight w:hRule="atLeast" w:val="420"/>
          <w:cantSplit w:val="false"/>
        </w:trPr>
        <w:tc>
          <w:tcPr>
            <w:tcW w:type="dxa" w:w="675"/>
            <w:tcBorders>
              <w:top w:color="000001" w:space="0" w:sz="2" w:val="single"/>
              <w:left w:color="000001" w:space="0" w:sz="2" w:val="single"/>
              <w:bottom w:color="000001" w:space="0" w:sz="2" w:val="single"/>
              <w:right w:val="nil"/>
            </w:tcBorders>
            <w:shd w:fill="CCCCCC" w:val="clear"/>
            <w:tcMar>
              <w:left w:type="dxa" w:w="42"/>
            </w:tcMar>
            <w:vAlign w:val="center"/>
          </w:tcPr>
          <w:p>
            <w:pPr>
              <w:pStyle w:val="style67"/>
              <w:jc w:val="center"/>
              <w:rPr>
                <w:rFonts w:ascii="Calibri" w:hAnsi="Calibri"/>
                <w:b/>
                <w:bCs/>
                <w:sz w:val="20"/>
                <w:szCs w:val="20"/>
              </w:rPr>
            </w:pPr>
            <w:r>
              <w:rPr>
                <w:rFonts w:ascii="Calibri" w:hAnsi="Calibri"/>
                <w:b/>
                <w:bCs/>
                <w:sz w:val="20"/>
                <w:szCs w:val="20"/>
              </w:rPr>
              <w:t>Item</w:t>
            </w:r>
          </w:p>
        </w:tc>
        <w:tc>
          <w:tcPr>
            <w:tcW w:type="dxa" w:w="1018"/>
            <w:tcBorders>
              <w:top w:color="000001" w:space="0" w:sz="2" w:val="single"/>
              <w:left w:color="000001" w:space="0" w:sz="2" w:val="single"/>
              <w:bottom w:color="000001" w:space="0" w:sz="2" w:val="single"/>
              <w:right w:val="nil"/>
            </w:tcBorders>
            <w:shd w:fill="CCCCCC" w:val="clear"/>
            <w:tcMar>
              <w:left w:type="dxa" w:w="42"/>
            </w:tcMar>
            <w:vAlign w:val="center"/>
          </w:tcPr>
          <w:p>
            <w:pPr>
              <w:pStyle w:val="style67"/>
              <w:jc w:val="center"/>
              <w:rPr>
                <w:rFonts w:ascii="Calibri" w:hAnsi="Calibri"/>
                <w:b/>
                <w:bCs/>
                <w:sz w:val="20"/>
                <w:szCs w:val="20"/>
              </w:rPr>
            </w:pPr>
            <w:r>
              <w:rPr>
                <w:rFonts w:ascii="Calibri" w:hAnsi="Calibri"/>
                <w:b/>
                <w:bCs/>
                <w:sz w:val="20"/>
                <w:szCs w:val="20"/>
              </w:rPr>
              <w:t>CATMAT</w:t>
            </w:r>
          </w:p>
        </w:tc>
        <w:tc>
          <w:tcPr>
            <w:tcW w:type="dxa" w:w="852"/>
            <w:tcBorders>
              <w:top w:color="000001" w:space="0" w:sz="2" w:val="single"/>
              <w:left w:color="000001" w:space="0" w:sz="2" w:val="single"/>
              <w:bottom w:color="000001" w:space="0" w:sz="2" w:val="single"/>
              <w:right w:val="nil"/>
            </w:tcBorders>
            <w:shd w:fill="CCCCCC" w:val="clear"/>
            <w:tcMar>
              <w:left w:type="dxa" w:w="42"/>
            </w:tcMar>
            <w:vAlign w:val="center"/>
          </w:tcPr>
          <w:p>
            <w:pPr>
              <w:pStyle w:val="style67"/>
              <w:jc w:val="center"/>
              <w:rPr>
                <w:rFonts w:ascii="Calibri" w:hAnsi="Calibri"/>
                <w:b/>
                <w:bCs/>
                <w:sz w:val="20"/>
                <w:szCs w:val="20"/>
              </w:rPr>
            </w:pPr>
            <w:r>
              <w:rPr>
                <w:rFonts w:ascii="Calibri" w:hAnsi="Calibri"/>
                <w:b/>
                <w:bCs/>
                <w:sz w:val="20"/>
                <w:szCs w:val="20"/>
              </w:rPr>
              <w:t>Unid.</w:t>
            </w:r>
          </w:p>
        </w:tc>
        <w:tc>
          <w:tcPr>
            <w:tcW w:type="dxa" w:w="737"/>
            <w:tcBorders>
              <w:top w:color="000001" w:space="0" w:sz="2" w:val="single"/>
              <w:left w:color="000001" w:space="0" w:sz="2" w:val="single"/>
              <w:bottom w:color="000001" w:space="0" w:sz="2" w:val="single"/>
              <w:right w:val="nil"/>
            </w:tcBorders>
            <w:shd w:fill="CCCCCC" w:val="clear"/>
            <w:tcMar>
              <w:left w:type="dxa" w:w="42"/>
            </w:tcMar>
            <w:vAlign w:val="center"/>
          </w:tcPr>
          <w:p>
            <w:pPr>
              <w:pStyle w:val="style67"/>
              <w:jc w:val="center"/>
              <w:rPr>
                <w:rFonts w:ascii="Calibri" w:hAnsi="Calibri"/>
                <w:b/>
                <w:bCs/>
                <w:sz w:val="20"/>
                <w:szCs w:val="20"/>
              </w:rPr>
            </w:pPr>
            <w:r>
              <w:rPr>
                <w:rFonts w:ascii="Calibri" w:hAnsi="Calibri"/>
                <w:b/>
                <w:bCs/>
                <w:sz w:val="20"/>
                <w:szCs w:val="20"/>
              </w:rPr>
              <w:t>Quant.</w:t>
            </w:r>
          </w:p>
        </w:tc>
        <w:tc>
          <w:tcPr>
            <w:tcW w:type="dxa" w:w="3557"/>
            <w:tcBorders>
              <w:top w:color="000001" w:space="0" w:sz="2" w:val="single"/>
              <w:left w:color="000001" w:space="0" w:sz="2" w:val="single"/>
              <w:bottom w:color="000001" w:space="0" w:sz="2" w:val="single"/>
              <w:right w:val="nil"/>
            </w:tcBorders>
            <w:shd w:fill="CCCCCC" w:val="clear"/>
            <w:tcMar>
              <w:left w:type="dxa" w:w="42"/>
            </w:tcMar>
          </w:tcPr>
          <w:p>
            <w:pPr>
              <w:pStyle w:val="style67"/>
              <w:jc w:val="center"/>
              <w:rPr>
                <w:rFonts w:ascii="Calibri" w:hAnsi="Calibri"/>
                <w:b/>
                <w:bCs/>
                <w:sz w:val="20"/>
                <w:szCs w:val="20"/>
              </w:rPr>
            </w:pPr>
            <w:r>
              <w:rPr>
                <w:rFonts w:ascii="Calibri" w:hAnsi="Calibri"/>
                <w:b/>
                <w:bCs/>
                <w:sz w:val="20"/>
                <w:szCs w:val="20"/>
              </w:rPr>
              <w:t>Especificação Detalhada</w:t>
            </w:r>
          </w:p>
        </w:tc>
        <w:tc>
          <w:tcPr>
            <w:tcW w:type="dxa" w:w="1029"/>
            <w:tcBorders>
              <w:top w:color="000001" w:space="0" w:sz="2" w:val="single"/>
              <w:left w:color="000001" w:space="0" w:sz="2" w:val="single"/>
              <w:bottom w:color="000001" w:space="0" w:sz="2" w:val="single"/>
              <w:right w:val="nil"/>
            </w:tcBorders>
            <w:shd w:fill="CCCCCC" w:val="clear"/>
            <w:tcMar>
              <w:left w:type="dxa" w:w="42"/>
            </w:tcMar>
          </w:tcPr>
          <w:p>
            <w:pPr>
              <w:pStyle w:val="style67"/>
              <w:jc w:val="center"/>
              <w:rPr>
                <w:rFonts w:ascii="Calibri" w:hAnsi="Calibri"/>
                <w:b/>
                <w:bCs/>
                <w:sz w:val="20"/>
                <w:szCs w:val="20"/>
              </w:rPr>
            </w:pPr>
            <w:r>
              <w:rPr>
                <w:rFonts w:ascii="Calibri" w:hAnsi="Calibri"/>
                <w:b/>
                <w:bCs/>
                <w:sz w:val="20"/>
                <w:szCs w:val="20"/>
              </w:rPr>
              <w:t>V. Unit.</w:t>
            </w:r>
          </w:p>
        </w:tc>
        <w:tc>
          <w:tcPr>
            <w:tcW w:type="dxa" w:w="1204"/>
            <w:tcBorders>
              <w:top w:color="000001" w:space="0" w:sz="2" w:val="single"/>
              <w:left w:color="000001" w:space="0" w:sz="2" w:val="single"/>
              <w:bottom w:color="000001" w:space="0" w:sz="2" w:val="single"/>
              <w:right w:color="000001" w:space="0" w:sz="2" w:val="single"/>
            </w:tcBorders>
            <w:shd w:fill="CCCCCC" w:val="clear"/>
            <w:tcMar>
              <w:left w:type="dxa" w:w="42"/>
            </w:tcMar>
          </w:tcPr>
          <w:p>
            <w:pPr>
              <w:pStyle w:val="style67"/>
              <w:jc w:val="center"/>
              <w:rPr>
                <w:rFonts w:ascii="Calibri" w:hAnsi="Calibri"/>
                <w:b/>
                <w:bCs/>
                <w:sz w:val="20"/>
                <w:szCs w:val="20"/>
              </w:rPr>
            </w:pPr>
            <w:r>
              <w:rPr>
                <w:rFonts w:ascii="Calibri" w:hAnsi="Calibri"/>
                <w:b/>
                <w:bCs/>
                <w:sz w:val="20"/>
                <w:szCs w:val="20"/>
              </w:rPr>
              <w:t>V. Total</w:t>
            </w:r>
          </w:p>
        </w:tc>
      </w:tr>
      <w:tr>
        <w:trPr>
          <w:cantSplit w:val="false"/>
        </w:trPr>
        <w:tc>
          <w:tcPr>
            <w:tcW w:type="dxa" w:w="675"/>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1</w:t>
            </w:r>
          </w:p>
        </w:tc>
        <w:tc>
          <w:tcPr>
            <w:tcW w:type="dxa" w:w="1018"/>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345002</w:t>
            </w:r>
          </w:p>
        </w:tc>
        <w:tc>
          <w:tcPr>
            <w:tcW w:type="dxa" w:w="852"/>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Unid.</w:t>
            </w:r>
          </w:p>
        </w:tc>
        <w:tc>
          <w:tcPr>
            <w:tcW w:type="dxa" w:w="737"/>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66</w:t>
            </w:r>
          </w:p>
        </w:tc>
        <w:tc>
          <w:tcPr>
            <w:tcW w:type="dxa" w:w="3557"/>
            <w:tcBorders>
              <w:top w:val="nil"/>
              <w:left w:color="000001" w:space="0" w:sz="2" w:val="single"/>
              <w:bottom w:color="000001" w:space="0" w:sz="2" w:val="single"/>
              <w:right w:val="nil"/>
            </w:tcBorders>
            <w:shd w:fill="FFFFFF" w:val="clear"/>
            <w:tcMar>
              <w:left w:type="dxa" w:w="41"/>
            </w:tcMar>
          </w:tcPr>
          <w:p>
            <w:pPr>
              <w:pStyle w:val="style0"/>
              <w:jc w:val="left"/>
              <w:rPr>
                <w:rFonts w:ascii="Calibri" w:hAnsi="Calibri"/>
                <w:sz w:val="20"/>
                <w:szCs w:val="20"/>
              </w:rPr>
            </w:pPr>
            <w:r>
              <w:rPr>
                <w:rFonts w:ascii="Calibri" w:hAnsi="Calibri"/>
                <w:sz w:val="20"/>
                <w:szCs w:val="20"/>
              </w:rPr>
              <w:t xml:space="preserve">BALUN Conversor de Impedância de 120 para 75 Ohms. </w:t>
              <w:br/>
              <w:t xml:space="preserve">Para uso em placas de telefonia digitais com canais E1/T1/J1 </w:t>
              <w:br/>
              <w:t xml:space="preserve">Taxas de Dados de até 2.048 Mbps </w:t>
              <w:br/>
              <w:t xml:space="preserve">Transforma de coaxial duplo (tx/rx) 75 Ohms para par trançado 120 Ohms </w:t>
            </w:r>
          </w:p>
          <w:p>
            <w:pPr>
              <w:pStyle w:val="style0"/>
              <w:jc w:val="left"/>
              <w:rPr>
                <w:rFonts w:ascii="Calibri" w:hAnsi="Calibri"/>
                <w:sz w:val="20"/>
                <w:szCs w:val="20"/>
              </w:rPr>
            </w:pPr>
            <w:r>
              <w:rPr>
                <w:rFonts w:ascii="Calibri" w:hAnsi="Calibri"/>
                <w:sz w:val="20"/>
                <w:szCs w:val="20"/>
              </w:rPr>
              <w:t xml:space="preserve">Conversão bidirecional </w:t>
              <w:br/>
              <w:t xml:space="preserve">Não utiliza alimentação elétrica </w:t>
              <w:br/>
              <w:t>Pequenas dimensões Balun transforma os dois cabos coaxiais que a operadora telefônica instala para cada canal E1, em um conector padrão RJ45 que, com o um patch cord comum é conectado às placas telefônicas digitais para Asterisk ou SER da Digivoice, Openvox ou Digium. O balun obedece à especificação ITU G.703.</w:t>
              <w:br/>
              <w:t>Pedido Mínimo (1)</w:t>
            </w:r>
          </w:p>
        </w:tc>
        <w:tc>
          <w:tcPr>
            <w:tcW w:type="dxa" w:w="1029"/>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126,57</w:t>
            </w:r>
          </w:p>
        </w:tc>
        <w:tc>
          <w:tcPr>
            <w:tcW w:type="dxa" w:w="1204"/>
            <w:tcBorders>
              <w:top w:val="nil"/>
              <w:left w:color="000001" w:space="0" w:sz="2" w:val="single"/>
              <w:bottom w:color="000001" w:space="0" w:sz="2" w:val="single"/>
              <w:right w:color="000001" w:space="0" w:sz="2" w:val="single"/>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8.353,62</w:t>
            </w:r>
          </w:p>
        </w:tc>
      </w:tr>
      <w:tr>
        <w:trPr>
          <w:cantSplit w:val="false"/>
        </w:trPr>
        <w:tc>
          <w:tcPr>
            <w:tcW w:type="dxa" w:w="675"/>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2</w:t>
            </w:r>
          </w:p>
        </w:tc>
        <w:tc>
          <w:tcPr>
            <w:tcW w:type="dxa" w:w="1018"/>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r>
          </w:p>
        </w:tc>
        <w:tc>
          <w:tcPr>
            <w:tcW w:type="dxa" w:w="852"/>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Unid.</w:t>
            </w:r>
          </w:p>
        </w:tc>
        <w:tc>
          <w:tcPr>
            <w:tcW w:type="dxa" w:w="737"/>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21</w:t>
            </w:r>
          </w:p>
        </w:tc>
        <w:tc>
          <w:tcPr>
            <w:tcW w:type="dxa" w:w="3557"/>
            <w:tcBorders>
              <w:top w:val="nil"/>
              <w:left w:color="000001" w:space="0" w:sz="2" w:val="single"/>
              <w:bottom w:color="000001" w:space="0" w:sz="2" w:val="single"/>
              <w:right w:val="nil"/>
            </w:tcBorders>
            <w:shd w:fill="FFFFFF" w:val="clear"/>
            <w:tcMar>
              <w:left w:type="dxa" w:w="41"/>
            </w:tcMar>
          </w:tcPr>
          <w:p>
            <w:pPr>
              <w:pStyle w:val="style0"/>
              <w:jc w:val="left"/>
              <w:rPr>
                <w:rFonts w:ascii="Calibri" w:hAnsi="Calibri"/>
                <w:sz w:val="20"/>
                <w:szCs w:val="20"/>
              </w:rPr>
            </w:pPr>
            <w:r>
              <w:rPr>
                <w:rFonts w:ascii="Calibri" w:hAnsi="Calibri"/>
                <w:sz w:val="20"/>
                <w:szCs w:val="20"/>
              </w:rPr>
              <w:t>Placa E1 DigiVoice VB6060PCI</w:t>
              <w:br/>
              <w:t>Pedido Mínimo (1)</w:t>
            </w:r>
          </w:p>
        </w:tc>
        <w:tc>
          <w:tcPr>
            <w:tcW w:type="dxa" w:w="1029"/>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2.962,17</w:t>
            </w:r>
          </w:p>
        </w:tc>
        <w:tc>
          <w:tcPr>
            <w:tcW w:type="dxa" w:w="1204"/>
            <w:tcBorders>
              <w:top w:val="nil"/>
              <w:left w:color="000001" w:space="0" w:sz="2" w:val="single"/>
              <w:bottom w:color="000001" w:space="0" w:sz="2" w:val="single"/>
              <w:right w:color="000001" w:space="0" w:sz="2" w:val="single"/>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62.205,57</w:t>
            </w:r>
          </w:p>
        </w:tc>
      </w:tr>
      <w:tr>
        <w:trPr>
          <w:cantSplit w:val="false"/>
        </w:trPr>
        <w:tc>
          <w:tcPr>
            <w:tcW w:type="dxa" w:w="675"/>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3</w:t>
            </w:r>
          </w:p>
        </w:tc>
        <w:tc>
          <w:tcPr>
            <w:tcW w:type="dxa" w:w="1018"/>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r>
          </w:p>
        </w:tc>
        <w:tc>
          <w:tcPr>
            <w:tcW w:type="dxa" w:w="852"/>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Unid.</w:t>
            </w:r>
          </w:p>
        </w:tc>
        <w:tc>
          <w:tcPr>
            <w:tcW w:type="dxa" w:w="737"/>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19</w:t>
            </w:r>
          </w:p>
        </w:tc>
        <w:tc>
          <w:tcPr>
            <w:tcW w:type="dxa" w:w="3557"/>
            <w:tcBorders>
              <w:top w:val="nil"/>
              <w:left w:color="000001" w:space="0" w:sz="2" w:val="single"/>
              <w:bottom w:color="000001" w:space="0" w:sz="2" w:val="single"/>
              <w:right w:val="nil"/>
            </w:tcBorders>
            <w:shd w:fill="FFFFFF" w:val="clear"/>
            <w:tcMar>
              <w:left w:type="dxa" w:w="41"/>
            </w:tcMar>
          </w:tcPr>
          <w:p>
            <w:pPr>
              <w:pStyle w:val="style0"/>
              <w:jc w:val="left"/>
              <w:rPr>
                <w:rFonts w:ascii="Calibri" w:hAnsi="Calibri"/>
                <w:sz w:val="20"/>
                <w:szCs w:val="20"/>
              </w:rPr>
            </w:pPr>
            <w:r>
              <w:rPr>
                <w:rFonts w:ascii="Calibri" w:hAnsi="Calibri"/>
                <w:sz w:val="20"/>
                <w:szCs w:val="20"/>
              </w:rPr>
              <w:t>Placa E1 DigiVoice VB6060PCI-E X1 perfil baixo</w:t>
              <w:br/>
              <w:t>Pedido Mínimo (1)</w:t>
            </w:r>
          </w:p>
        </w:tc>
        <w:tc>
          <w:tcPr>
            <w:tcW w:type="dxa" w:w="1029"/>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3.204,89</w:t>
            </w:r>
          </w:p>
        </w:tc>
        <w:tc>
          <w:tcPr>
            <w:tcW w:type="dxa" w:w="1204"/>
            <w:tcBorders>
              <w:top w:val="nil"/>
              <w:left w:color="000001" w:space="0" w:sz="2" w:val="single"/>
              <w:bottom w:color="000001" w:space="0" w:sz="2" w:val="single"/>
              <w:right w:color="000001" w:space="0" w:sz="2" w:val="single"/>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60.882,91</w:t>
            </w:r>
          </w:p>
        </w:tc>
      </w:tr>
      <w:tr>
        <w:trPr>
          <w:cantSplit w:val="false"/>
        </w:trPr>
        <w:tc>
          <w:tcPr>
            <w:tcW w:type="dxa" w:w="675"/>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r>
          </w:p>
          <w:p>
            <w:pPr>
              <w:pStyle w:val="style0"/>
              <w:jc w:val="center"/>
              <w:rPr/>
            </w:pPr>
            <w:r>
              <w:rPr/>
            </w:r>
          </w:p>
          <w:p>
            <w:pPr>
              <w:pStyle w:val="style0"/>
              <w:jc w:val="center"/>
              <w:rPr>
                <w:rFonts w:ascii="Calibri" w:hAnsi="Calibri"/>
                <w:sz w:val="20"/>
                <w:szCs w:val="20"/>
              </w:rPr>
            </w:pPr>
            <w:r>
              <w:rPr>
                <w:rFonts w:ascii="Calibri" w:hAnsi="Calibri"/>
                <w:sz w:val="20"/>
                <w:szCs w:val="20"/>
              </w:rPr>
              <w:t>4</w:t>
            </w:r>
          </w:p>
        </w:tc>
        <w:tc>
          <w:tcPr>
            <w:tcW w:type="dxa" w:w="1018"/>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r>
          </w:p>
        </w:tc>
        <w:tc>
          <w:tcPr>
            <w:tcW w:type="dxa" w:w="852"/>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r>
          </w:p>
          <w:p>
            <w:pPr>
              <w:pStyle w:val="style0"/>
              <w:jc w:val="center"/>
              <w:rPr/>
            </w:pPr>
            <w:r>
              <w:rPr/>
            </w:r>
          </w:p>
          <w:p>
            <w:pPr>
              <w:pStyle w:val="style0"/>
              <w:jc w:val="center"/>
              <w:rPr>
                <w:rFonts w:ascii="Calibri" w:hAnsi="Calibri"/>
                <w:sz w:val="20"/>
                <w:szCs w:val="20"/>
              </w:rPr>
            </w:pPr>
            <w:r>
              <w:rPr>
                <w:rFonts w:ascii="Calibri" w:hAnsi="Calibri"/>
                <w:sz w:val="20"/>
                <w:szCs w:val="20"/>
              </w:rPr>
              <w:t>Unid.</w:t>
            </w:r>
          </w:p>
        </w:tc>
        <w:tc>
          <w:tcPr>
            <w:tcW w:type="dxa" w:w="737"/>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r>
          </w:p>
          <w:p>
            <w:pPr>
              <w:pStyle w:val="style0"/>
              <w:jc w:val="center"/>
              <w:rPr>
                <w:rFonts w:ascii="Calibri" w:hAnsi="Calibri"/>
                <w:sz w:val="20"/>
                <w:szCs w:val="20"/>
              </w:rPr>
            </w:pPr>
            <w:r>
              <w:rPr>
                <w:rFonts w:ascii="Calibri" w:hAnsi="Calibri"/>
                <w:sz w:val="20"/>
                <w:szCs w:val="20"/>
              </w:rPr>
              <w:t>19</w:t>
            </w:r>
          </w:p>
        </w:tc>
        <w:tc>
          <w:tcPr>
            <w:tcW w:type="dxa" w:w="3557"/>
            <w:tcBorders>
              <w:top w:val="nil"/>
              <w:left w:color="000001" w:space="0" w:sz="2" w:val="single"/>
              <w:bottom w:color="000001" w:space="0" w:sz="2" w:val="single"/>
              <w:right w:val="nil"/>
            </w:tcBorders>
            <w:shd w:fill="FFFFFF" w:val="clear"/>
            <w:tcMar>
              <w:left w:type="dxa" w:w="41"/>
            </w:tcMar>
          </w:tcPr>
          <w:p>
            <w:pPr>
              <w:pStyle w:val="style0"/>
              <w:jc w:val="left"/>
              <w:rPr>
                <w:rFonts w:ascii="Calibri" w:hAnsi="Calibri"/>
                <w:sz w:val="20"/>
                <w:szCs w:val="20"/>
              </w:rPr>
            </w:pPr>
            <w:r>
              <w:rPr>
                <w:rFonts w:ascii="Calibri" w:hAnsi="Calibri"/>
                <w:sz w:val="20"/>
                <w:szCs w:val="20"/>
              </w:rPr>
              <w:t>PLACA E1 PARA 30 CANAIS, placa E1 igual ou equivalente a Khomp K1E1 SPX com a placa adicional de cancelamento de eco VEC-30;</w:t>
              <w:br/>
              <w:t>Compatível com Asterisk e Debian 7 e Debian 8;</w:t>
              <w:br/>
              <w:t xml:space="preserve">Interface digital E1 com 30 canais; </w:t>
              <w:br/>
              <w:t>Protocolos de rede: RDSI e R2 (com 30 trocadores de sinalização MFC);</w:t>
              <w:br/>
              <w:t>Protocolo de PABX: EL7, Line Side, QSIG (SSCT) e E1LC;</w:t>
              <w:br/>
              <w:t>Geração de sinais de 425Hz (cadências) e DTMF;</w:t>
              <w:br/>
              <w:t xml:space="preserve">Detecção de discagem DTMF e pulsos decádicos; </w:t>
              <w:br/>
              <w:t>Detecção de sinal de fax e de caixa postal (sinalização padrão: 600Hz/450ms – 1000Hz/450ms);</w:t>
              <w:br/>
              <w:t>Detecção de tom de fax, silêncio e presença de áudio (antes e depois do atendimento);</w:t>
              <w:br/>
              <w:t>Supressão de discagem DTMF em ligações estabelecidas;</w:t>
              <w:br/>
              <w:t>Cancelamento de eco nos 30 canais simultaneamente, independente do uso de outros recursos de hardware;</w:t>
              <w:br/>
              <w:t>Cancelamento de eco com delay de 64ms (512 TAPS) em todos os canais; simultaneamente, convergência e ajuste de delay automáticos durante toda a ligação;</w:t>
              <w:br/>
              <w:t>Deve fornecer informações de sinalização e estado dos canais;</w:t>
              <w:br/>
              <w:t>Filtro de ligações a cobrar, para todas as ligações ou por chamada, baseado no tom de chamada a cobrar;</w:t>
              <w:br/>
              <w:t>Detecção de atendimento disponível via dialplan e interface AMI;</w:t>
              <w:br/>
              <w:t>Suporte a "bridging nativo", conectando diretamente o áudio entre canais da mesma placa</w:t>
              <w:br/>
              <w:t>Suporte a gravações em modo "bridging nativo";</w:t>
              <w:br/>
              <w:t>Agrupamento de canais em rotas de saída ou bidirecionais (saída e entrada);</w:t>
              <w:br/>
              <w:t>Balanceamento de ligações entre canais de uma ou mais rotas de saída;</w:t>
              <w:br/>
              <w:t>Interface PCI.</w:t>
              <w:br/>
              <w:t>Interface E1 com conectores BNC, com impedância de 75 Ohms;</w:t>
              <w:br/>
              <w:t xml:space="preserve">Placa adicional para cancelamento de eco até 64ms (512 TAPS) em 30 canais simultaneamente; </w:t>
              <w:br/>
              <w:t>Certificação Anatel;</w:t>
              <w:br/>
              <w:t>Garantia de fábrica: 3 anos;</w:t>
              <w:br/>
              <w:t>Suporte no Brasil.</w:t>
              <w:br/>
              <w:t>Pedido Mínimo (1)</w:t>
            </w:r>
          </w:p>
        </w:tc>
        <w:tc>
          <w:tcPr>
            <w:tcW w:type="dxa" w:w="1029"/>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r>
          </w:p>
          <w:p>
            <w:pPr>
              <w:pStyle w:val="style0"/>
              <w:jc w:val="center"/>
              <w:rPr/>
            </w:pPr>
            <w:r>
              <w:rPr/>
            </w:r>
          </w:p>
          <w:p>
            <w:pPr>
              <w:pStyle w:val="style0"/>
              <w:jc w:val="center"/>
              <w:rPr>
                <w:rFonts w:ascii="Calibri" w:hAnsi="Calibri"/>
                <w:sz w:val="20"/>
                <w:szCs w:val="20"/>
              </w:rPr>
            </w:pPr>
            <w:r>
              <w:rPr>
                <w:rFonts w:ascii="Calibri" w:hAnsi="Calibri"/>
                <w:sz w:val="20"/>
                <w:szCs w:val="20"/>
              </w:rPr>
              <w:t>3.314,75</w:t>
            </w:r>
          </w:p>
        </w:tc>
        <w:tc>
          <w:tcPr>
            <w:tcW w:type="dxa" w:w="1204"/>
            <w:tcBorders>
              <w:top w:val="nil"/>
              <w:left w:color="000001" w:space="0" w:sz="2" w:val="single"/>
              <w:bottom w:color="000001" w:space="0" w:sz="2" w:val="single"/>
              <w:right w:color="000001" w:space="0" w:sz="2" w:val="single"/>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r>
          </w:p>
          <w:p>
            <w:pPr>
              <w:pStyle w:val="style0"/>
              <w:jc w:val="center"/>
              <w:rPr/>
            </w:pPr>
            <w:r>
              <w:rPr/>
            </w:r>
          </w:p>
          <w:p>
            <w:pPr>
              <w:pStyle w:val="style0"/>
              <w:jc w:val="center"/>
              <w:rPr>
                <w:rFonts w:ascii="Calibri" w:hAnsi="Calibri"/>
                <w:sz w:val="20"/>
                <w:szCs w:val="20"/>
              </w:rPr>
            </w:pPr>
            <w:r>
              <w:rPr>
                <w:rFonts w:ascii="Calibri" w:hAnsi="Calibri"/>
                <w:sz w:val="20"/>
                <w:szCs w:val="20"/>
              </w:rPr>
              <w:t>62.980,25</w:t>
            </w:r>
          </w:p>
        </w:tc>
      </w:tr>
      <w:tr>
        <w:trPr>
          <w:cantSplit w:val="false"/>
        </w:trPr>
        <w:tc>
          <w:tcPr>
            <w:tcW w:type="dxa" w:w="675"/>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5</w:t>
            </w:r>
          </w:p>
        </w:tc>
        <w:tc>
          <w:tcPr>
            <w:tcW w:type="dxa" w:w="1018"/>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22004</w:t>
            </w:r>
          </w:p>
        </w:tc>
        <w:tc>
          <w:tcPr>
            <w:tcW w:type="dxa" w:w="852"/>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Unid.</w:t>
            </w:r>
          </w:p>
        </w:tc>
        <w:tc>
          <w:tcPr>
            <w:tcW w:type="dxa" w:w="737"/>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51</w:t>
            </w:r>
          </w:p>
        </w:tc>
        <w:tc>
          <w:tcPr>
            <w:tcW w:type="dxa" w:w="3557"/>
            <w:tcBorders>
              <w:top w:val="nil"/>
              <w:left w:color="000001" w:space="0" w:sz="2" w:val="single"/>
              <w:bottom w:color="000001" w:space="0" w:sz="2" w:val="single"/>
              <w:right w:val="nil"/>
            </w:tcBorders>
            <w:shd w:fill="FFFFFF" w:val="clear"/>
            <w:tcMar>
              <w:left w:type="dxa" w:w="41"/>
            </w:tcMar>
          </w:tcPr>
          <w:p>
            <w:pPr>
              <w:pStyle w:val="style0"/>
              <w:jc w:val="left"/>
              <w:rPr>
                <w:rFonts w:ascii="Calibri" w:hAnsi="Calibri"/>
                <w:sz w:val="20"/>
                <w:szCs w:val="20"/>
              </w:rPr>
            </w:pPr>
            <w:r>
              <w:rPr>
                <w:rFonts w:ascii="Calibri" w:hAnsi="Calibri"/>
                <w:sz w:val="20"/>
                <w:szCs w:val="20"/>
              </w:rPr>
              <w:t>CABO COAXIAL BNC Reto 2 Metros</w:t>
              <w:br/>
              <w:t xml:space="preserve">Cabo Coaxial BNC Reto RF-75 75 Ohms 0,4X2,5 mm 2 metros </w:t>
              <w:br/>
              <w:t>Utilizado para ligar os modens dos troncos E1 das operadoras às placas E1 do PABX IP.</w:t>
              <w:br/>
              <w:t>Pedido Mínimo (1)</w:t>
            </w:r>
          </w:p>
        </w:tc>
        <w:tc>
          <w:tcPr>
            <w:tcW w:type="dxa" w:w="1029"/>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101,36</w:t>
            </w:r>
          </w:p>
        </w:tc>
        <w:tc>
          <w:tcPr>
            <w:tcW w:type="dxa" w:w="1204"/>
            <w:tcBorders>
              <w:top w:val="nil"/>
              <w:left w:color="000001" w:space="0" w:sz="2" w:val="single"/>
              <w:bottom w:color="000001" w:space="0" w:sz="2" w:val="single"/>
              <w:right w:color="000001" w:space="0" w:sz="2" w:val="single"/>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5.169,36</w:t>
            </w:r>
          </w:p>
        </w:tc>
      </w:tr>
      <w:tr>
        <w:trPr>
          <w:cantSplit w:val="false"/>
        </w:trPr>
        <w:tc>
          <w:tcPr>
            <w:tcW w:type="dxa" w:w="675"/>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6</w:t>
            </w:r>
          </w:p>
        </w:tc>
        <w:tc>
          <w:tcPr>
            <w:tcW w:type="dxa" w:w="1018"/>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22004</w:t>
            </w:r>
          </w:p>
        </w:tc>
        <w:tc>
          <w:tcPr>
            <w:tcW w:type="dxa" w:w="852"/>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Unid.</w:t>
            </w:r>
          </w:p>
        </w:tc>
        <w:tc>
          <w:tcPr>
            <w:tcW w:type="dxa" w:w="737"/>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69</w:t>
            </w:r>
          </w:p>
        </w:tc>
        <w:tc>
          <w:tcPr>
            <w:tcW w:type="dxa" w:w="3557"/>
            <w:tcBorders>
              <w:top w:val="nil"/>
              <w:left w:color="000001" w:space="0" w:sz="2" w:val="single"/>
              <w:bottom w:color="000001" w:space="0" w:sz="2" w:val="single"/>
              <w:right w:val="nil"/>
            </w:tcBorders>
            <w:shd w:fill="FFFFFF" w:val="clear"/>
            <w:tcMar>
              <w:left w:type="dxa" w:w="41"/>
            </w:tcMar>
          </w:tcPr>
          <w:p>
            <w:pPr>
              <w:pStyle w:val="style0"/>
              <w:jc w:val="left"/>
              <w:rPr>
                <w:rFonts w:ascii="Calibri" w:hAnsi="Calibri"/>
                <w:sz w:val="20"/>
                <w:szCs w:val="20"/>
              </w:rPr>
            </w:pPr>
            <w:r>
              <w:rPr>
                <w:rFonts w:ascii="Calibri" w:hAnsi="Calibri"/>
                <w:sz w:val="20"/>
                <w:szCs w:val="20"/>
              </w:rPr>
              <w:t>CABO COAXIAL BNC Reto 4 Metros</w:t>
              <w:br/>
              <w:t xml:space="preserve">Cabo Coaxial BNC Reto RF-75 75 Ohms 0,4X2,5 mm 2 metros </w:t>
              <w:br/>
              <w:t>Utilizado para ligar os modens dos troncos E1 das operadoras às placas E1 do PABX IP.</w:t>
              <w:br/>
              <w:t>Pedido Mínimo (1)</w:t>
            </w:r>
          </w:p>
        </w:tc>
        <w:tc>
          <w:tcPr>
            <w:tcW w:type="dxa" w:w="1029"/>
            <w:tcBorders>
              <w:top w:val="nil"/>
              <w:left w:color="000001" w:space="0" w:sz="2" w:val="single"/>
              <w:bottom w:color="000001" w:space="0" w:sz="2" w:val="single"/>
              <w:right w:val="nil"/>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101,36</w:t>
            </w:r>
          </w:p>
        </w:tc>
        <w:tc>
          <w:tcPr>
            <w:tcW w:type="dxa" w:w="1204"/>
            <w:tcBorders>
              <w:top w:val="nil"/>
              <w:left w:color="000001" w:space="0" w:sz="2" w:val="single"/>
              <w:bottom w:color="000001" w:space="0" w:sz="2" w:val="single"/>
              <w:right w:color="000001" w:space="0" w:sz="2" w:val="single"/>
            </w:tcBorders>
            <w:shd w:fill="FFFFFF" w:val="clear"/>
            <w:tcMar>
              <w:left w:type="dxa" w:w="41"/>
            </w:tcMar>
            <w:vAlign w:val="center"/>
          </w:tcPr>
          <w:p>
            <w:pPr>
              <w:pStyle w:val="style0"/>
              <w:jc w:val="center"/>
              <w:rPr>
                <w:rFonts w:ascii="Calibri" w:hAnsi="Calibri"/>
                <w:sz w:val="20"/>
                <w:szCs w:val="20"/>
              </w:rPr>
            </w:pPr>
            <w:r>
              <w:rPr>
                <w:rFonts w:ascii="Calibri" w:hAnsi="Calibri"/>
                <w:sz w:val="20"/>
                <w:szCs w:val="20"/>
              </w:rPr>
              <w:t>6.993,84</w:t>
            </w:r>
          </w:p>
        </w:tc>
      </w:tr>
      <w:tr>
        <w:trPr>
          <w:trHeight w:hRule="atLeast" w:val="426"/>
          <w:cantSplit w:val="false"/>
        </w:trPr>
        <w:tc>
          <w:tcPr>
            <w:tcW w:type="dxa" w:w="9072"/>
            <w:gridSpan w:val="7"/>
            <w:tcBorders>
              <w:top w:val="nil"/>
              <w:left w:color="000001" w:space="0" w:sz="2" w:val="single"/>
              <w:bottom w:color="000001" w:space="0" w:sz="2" w:val="single"/>
              <w:right w:color="000001" w:space="0" w:sz="2" w:val="single"/>
            </w:tcBorders>
            <w:shd w:fill="FFFFFF" w:val="clear"/>
            <w:tcMar>
              <w:left w:type="dxa" w:w="41"/>
            </w:tcMar>
          </w:tcPr>
          <w:p>
            <w:pPr>
              <w:pStyle w:val="style0"/>
              <w:jc w:val="center"/>
              <w:rPr>
                <w:rFonts w:ascii="Calibri" w:hAnsi="Calibri"/>
                <w:b/>
                <w:bCs/>
                <w:sz w:val="20"/>
                <w:szCs w:val="20"/>
              </w:rPr>
            </w:pPr>
            <w:r>
              <w:rPr>
                <w:rFonts w:ascii="Calibri" w:hAnsi="Calibri"/>
                <w:b/>
                <w:bCs/>
                <w:sz w:val="20"/>
                <w:szCs w:val="20"/>
              </w:rPr>
              <w:t>TODOS OS ITENS  SÃO EXCLUSIVOS PARA ME E EPP</w:t>
            </w:r>
          </w:p>
        </w:tc>
      </w:tr>
    </w:tbl>
    <w:p>
      <w:pPr>
        <w:pStyle w:val="style0"/>
        <w:rPr/>
      </w:pPr>
      <w:r>
        <w:rPr/>
      </w:r>
    </w:p>
    <w:p>
      <w:pPr>
        <w:pStyle w:val="style0"/>
        <w:numPr>
          <w:ilvl w:val="1"/>
          <w:numId w:val="1"/>
        </w:numPr>
        <w:spacing w:after="120" w:before="0" w:line="276" w:lineRule="auto"/>
        <w:contextualSpacing w:val="false"/>
        <w:jc w:val="both"/>
        <w:rPr>
          <w:rFonts w:ascii="Calibri" w:cs="Arial" w:hAnsi="Calibri"/>
          <w:i/>
          <w:color w:val="000000"/>
          <w:sz w:val="22"/>
          <w:szCs w:val="22"/>
        </w:rPr>
      </w:pPr>
      <w:r>
        <w:rPr>
          <w:rFonts w:ascii="Calibri" w:cs="Arial" w:hAnsi="Calibri"/>
          <w:i/>
          <w:color w:val="000000"/>
          <w:sz w:val="22"/>
          <w:szCs w:val="22"/>
        </w:rPr>
        <w:t xml:space="preserve"> </w:t>
      </w:r>
      <w:r>
        <w:rPr>
          <w:rFonts w:ascii="Calibri" w:cs="Arial" w:hAnsi="Calibri"/>
          <w:i/>
          <w:color w:val="000000"/>
          <w:sz w:val="22"/>
          <w:szCs w:val="22"/>
        </w:rPr>
        <w:t>Estimativas de consumo individualizadas, do órgão gerenciador e órgão(s) e entidade(s) participante conforme anexo IV do Edital.</w:t>
      </w:r>
    </w:p>
    <w:p>
      <w:pPr>
        <w:pStyle w:val="style0"/>
        <w:numPr>
          <w:ilvl w:val="1"/>
          <w:numId w:val="1"/>
        </w:numPr>
        <w:spacing w:after="120" w:before="0" w:line="276" w:lineRule="auto"/>
        <w:contextualSpacing w:val="false"/>
        <w:jc w:val="both"/>
        <w:rPr>
          <w:rFonts w:ascii="Calibri" w:cs="Arial" w:hAnsi="Calibri"/>
          <w:i/>
          <w:color w:val="000000"/>
          <w:sz w:val="22"/>
          <w:szCs w:val="22"/>
        </w:rPr>
      </w:pPr>
      <w:r>
        <w:rPr>
          <w:rFonts w:ascii="Calibri" w:cs="Arial" w:hAnsi="Calibri"/>
          <w:i/>
          <w:color w:val="000000"/>
          <w:sz w:val="22"/>
          <w:szCs w:val="22"/>
        </w:rPr>
        <w:t>Todos os equipamentos deverão observar as normas técnicas quando aplicáveis, elaboradas pela Associação Brasileira de Normas Técnicas – ABNT, quanto a requisitos mínimos de qualidade, utilidade, resistência e segurança, nos termos da Lei nº 4.150-62.</w:t>
      </w:r>
    </w:p>
    <w:p>
      <w:pPr>
        <w:pStyle w:val="style0"/>
        <w:numPr>
          <w:ilvl w:val="0"/>
          <w:numId w:val="1"/>
        </w:numPr>
        <w:spacing w:after="120" w:before="0" w:line="276" w:lineRule="auto"/>
        <w:contextualSpacing w:val="false"/>
        <w:jc w:val="both"/>
        <w:rPr>
          <w:rFonts w:ascii="Calibri" w:cs="Arial" w:hAnsi="Calibri"/>
          <w:b/>
          <w:color w:val="000000"/>
          <w:sz w:val="22"/>
          <w:szCs w:val="22"/>
        </w:rPr>
      </w:pPr>
      <w:r>
        <w:rPr>
          <w:rFonts w:ascii="Calibri" w:cs="Arial" w:hAnsi="Calibri"/>
          <w:b/>
          <w:color w:val="000000"/>
          <w:sz w:val="22"/>
          <w:szCs w:val="22"/>
        </w:rPr>
        <w:t>JUSTIFICATIVA E OBJETIVO DA CONTRATAÇÃO</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shd w:fill="FFFFFF" w:val="clear"/>
        </w:rPr>
      </w:pPr>
      <w:r>
        <w:rPr>
          <w:rFonts w:ascii="Calibri" w:cs="Arial" w:hAnsi="Calibri"/>
          <w:color w:val="000000"/>
          <w:sz w:val="22"/>
          <w:szCs w:val="22"/>
        </w:rPr>
        <w:t xml:space="preserve"> </w:t>
      </w:r>
      <w:r>
        <w:rPr>
          <w:rFonts w:ascii="Calibri" w:cs="Arial" w:hAnsi="Calibri"/>
          <w:color w:val="000000"/>
          <w:sz w:val="22"/>
          <w:szCs w:val="22"/>
          <w:shd w:fill="FFFFFF" w:val="clear"/>
        </w:rPr>
        <w:t xml:space="preserve">A aquisição dos referidos produtos por meio de Registro de Preços, Objetivando o atendimento das demandas advindas do IFMT - Campi: Alta Floresta - </w:t>
      </w:r>
      <w:r>
        <w:rPr>
          <w:rFonts w:ascii="Calibri" w:cs="Arial" w:hAnsi="Calibri"/>
          <w:b/>
          <w:bCs/>
          <w:color w:val="000000"/>
          <w:sz w:val="22"/>
          <w:szCs w:val="22"/>
          <w:shd w:fill="FFFFFF" w:val="clear"/>
        </w:rPr>
        <w:t>ALF</w:t>
      </w:r>
      <w:r>
        <w:rPr>
          <w:rFonts w:ascii="Calibri" w:cs="Arial" w:hAnsi="Calibri"/>
          <w:color w:val="000000"/>
          <w:sz w:val="22"/>
          <w:szCs w:val="22"/>
          <w:shd w:fill="FFFFFF" w:val="clear"/>
        </w:rPr>
        <w:t xml:space="preserve">, Cáceres - </w:t>
      </w:r>
      <w:r>
        <w:rPr>
          <w:rFonts w:ascii="Calibri" w:cs="Arial" w:hAnsi="Calibri"/>
          <w:b/>
          <w:bCs/>
          <w:color w:val="000000"/>
          <w:sz w:val="22"/>
          <w:szCs w:val="22"/>
          <w:shd w:fill="FFFFFF" w:val="clear"/>
        </w:rPr>
        <w:t>CAS</w:t>
      </w:r>
      <w:r>
        <w:rPr>
          <w:rFonts w:ascii="Calibri" w:cs="Arial" w:hAnsi="Calibri"/>
          <w:color w:val="000000"/>
          <w:sz w:val="22"/>
          <w:szCs w:val="22"/>
          <w:shd w:fill="FFFFFF" w:val="clear"/>
        </w:rPr>
        <w:t xml:space="preserve">,  Campo Novo do Parecis - </w:t>
      </w:r>
      <w:r>
        <w:rPr>
          <w:rFonts w:ascii="Calibri" w:cs="Arial" w:hAnsi="Calibri"/>
          <w:b/>
          <w:bCs/>
          <w:color w:val="000000"/>
          <w:sz w:val="22"/>
          <w:szCs w:val="22"/>
          <w:shd w:fill="FFFFFF" w:val="clear"/>
        </w:rPr>
        <w:t>CNP</w:t>
      </w:r>
      <w:r>
        <w:rPr>
          <w:rFonts w:ascii="Calibri" w:cs="Arial" w:hAnsi="Calibri"/>
          <w:color w:val="000000"/>
          <w:sz w:val="22"/>
          <w:szCs w:val="22"/>
          <w:shd w:fill="FFFFFF" w:val="clear"/>
        </w:rPr>
        <w:t xml:space="preserve">, Diamantino - </w:t>
      </w:r>
      <w:r>
        <w:rPr>
          <w:rFonts w:ascii="Calibri" w:cs="Arial" w:hAnsi="Calibri"/>
          <w:b/>
          <w:bCs/>
          <w:color w:val="000000"/>
          <w:sz w:val="22"/>
          <w:szCs w:val="22"/>
          <w:shd w:fill="FFFFFF" w:val="clear"/>
        </w:rPr>
        <w:t>DMT</w:t>
      </w:r>
      <w:r>
        <w:rPr>
          <w:rFonts w:ascii="Calibri" w:cs="Arial" w:hAnsi="Calibri"/>
          <w:color w:val="000000"/>
          <w:sz w:val="22"/>
          <w:szCs w:val="22"/>
          <w:shd w:fill="FFFFFF" w:val="clear"/>
        </w:rPr>
        <w:t xml:space="preserve">, Guarantã do Norte - </w:t>
      </w:r>
      <w:r>
        <w:rPr>
          <w:rFonts w:ascii="Calibri" w:cs="Arial" w:hAnsi="Calibri"/>
          <w:b/>
          <w:bCs/>
          <w:color w:val="000000"/>
          <w:sz w:val="22"/>
          <w:szCs w:val="22"/>
          <w:shd w:fill="FFFFFF" w:val="clear"/>
        </w:rPr>
        <w:t>GTA</w:t>
      </w:r>
      <w:r>
        <w:rPr>
          <w:rFonts w:ascii="Calibri" w:cs="Arial" w:hAnsi="Calibri"/>
          <w:color w:val="000000"/>
          <w:sz w:val="22"/>
          <w:szCs w:val="22"/>
          <w:shd w:fill="FFFFFF" w:val="clear"/>
        </w:rPr>
        <w:t xml:space="preserve">, Lucas do Rio Verde - </w:t>
      </w:r>
      <w:r>
        <w:rPr>
          <w:rFonts w:ascii="Calibri" w:cs="Arial" w:hAnsi="Calibri"/>
          <w:b/>
          <w:bCs/>
          <w:color w:val="000000"/>
          <w:sz w:val="22"/>
          <w:szCs w:val="22"/>
          <w:shd w:fill="FFFFFF" w:val="clear"/>
        </w:rPr>
        <w:t>LRV</w:t>
      </w:r>
      <w:r>
        <w:rPr>
          <w:rFonts w:ascii="Calibri" w:cs="Arial" w:hAnsi="Calibri"/>
          <w:color w:val="000000"/>
          <w:sz w:val="22"/>
          <w:szCs w:val="22"/>
          <w:shd w:fill="FFFFFF" w:val="clear"/>
        </w:rPr>
        <w:t xml:space="preserve">, Pontes e Lacerda - </w:t>
      </w:r>
      <w:r>
        <w:rPr>
          <w:rFonts w:ascii="Calibri" w:cs="Arial" w:hAnsi="Calibri"/>
          <w:b/>
          <w:bCs/>
          <w:color w:val="000000"/>
          <w:sz w:val="22"/>
          <w:szCs w:val="22"/>
          <w:shd w:fill="FFFFFF" w:val="clear"/>
        </w:rPr>
        <w:t>PLC</w:t>
      </w:r>
      <w:r>
        <w:rPr>
          <w:rFonts w:ascii="Calibri" w:cs="Arial" w:hAnsi="Calibri"/>
          <w:color w:val="000000"/>
          <w:sz w:val="22"/>
          <w:szCs w:val="22"/>
          <w:shd w:fill="FFFFFF" w:val="clear"/>
        </w:rPr>
        <w:t xml:space="preserve">, Rondonópolis - </w:t>
      </w:r>
      <w:r>
        <w:rPr>
          <w:rFonts w:ascii="Calibri" w:cs="Arial" w:hAnsi="Calibri"/>
          <w:b/>
          <w:bCs/>
          <w:color w:val="000000"/>
          <w:sz w:val="22"/>
          <w:szCs w:val="22"/>
          <w:shd w:fill="FFFFFF" w:val="clear"/>
        </w:rPr>
        <w:t>ROO</w:t>
      </w:r>
      <w:r>
        <w:rPr>
          <w:rFonts w:ascii="Calibri" w:cs="Arial" w:hAnsi="Calibri"/>
          <w:color w:val="000000"/>
          <w:sz w:val="22"/>
          <w:szCs w:val="22"/>
          <w:shd w:fill="FFFFFF" w:val="clear"/>
        </w:rPr>
        <w:t xml:space="preserve">, Reitoria - </w:t>
      </w:r>
      <w:r>
        <w:rPr>
          <w:rFonts w:ascii="Calibri" w:cs="Arial" w:hAnsi="Calibri"/>
          <w:b/>
          <w:bCs/>
          <w:color w:val="000000"/>
          <w:sz w:val="22"/>
          <w:szCs w:val="22"/>
          <w:shd w:fill="FFFFFF" w:val="clear"/>
        </w:rPr>
        <w:t>RTR</w:t>
      </w:r>
      <w:r>
        <w:rPr>
          <w:rFonts w:ascii="Calibri" w:cs="Arial" w:hAnsi="Calibri"/>
          <w:color w:val="000000"/>
          <w:sz w:val="22"/>
          <w:szCs w:val="22"/>
          <w:shd w:fill="FFFFFF" w:val="clear"/>
        </w:rPr>
        <w:t xml:space="preserve">, Sinop - </w:t>
      </w:r>
      <w:r>
        <w:rPr>
          <w:rFonts w:ascii="Calibri" w:cs="Arial" w:hAnsi="Calibri"/>
          <w:b/>
          <w:bCs/>
          <w:color w:val="000000"/>
          <w:sz w:val="22"/>
          <w:szCs w:val="22"/>
          <w:shd w:fill="FFFFFF" w:val="clear"/>
        </w:rPr>
        <w:t>SNP</w:t>
      </w:r>
      <w:r>
        <w:rPr>
          <w:rFonts w:ascii="Calibri" w:cs="Arial" w:hAnsi="Calibri"/>
          <w:color w:val="000000"/>
          <w:sz w:val="22"/>
          <w:szCs w:val="22"/>
          <w:shd w:fill="FFFFFF" w:val="clear"/>
        </w:rPr>
        <w:t xml:space="preserve">, Sorriso - </w:t>
      </w:r>
      <w:r>
        <w:rPr>
          <w:rFonts w:ascii="Calibri" w:cs="Arial" w:hAnsi="Calibri"/>
          <w:b/>
          <w:bCs/>
          <w:color w:val="000000"/>
          <w:sz w:val="22"/>
          <w:szCs w:val="22"/>
          <w:shd w:fill="FFFFFF" w:val="clear"/>
        </w:rPr>
        <w:t>SRS</w:t>
      </w:r>
      <w:r>
        <w:rPr>
          <w:rFonts w:ascii="Calibri" w:cs="Arial" w:hAnsi="Calibri"/>
          <w:color w:val="000000"/>
          <w:sz w:val="22"/>
          <w:szCs w:val="22"/>
          <w:shd w:fill="FFFFFF" w:val="clear"/>
        </w:rPr>
        <w:t xml:space="preserve">, São Vicente – </w:t>
      </w:r>
      <w:r>
        <w:rPr>
          <w:rFonts w:ascii="Calibri" w:cs="Arial" w:hAnsi="Calibri"/>
          <w:b/>
          <w:bCs/>
          <w:color w:val="000000"/>
          <w:sz w:val="22"/>
          <w:szCs w:val="22"/>
          <w:shd w:fill="FFFFFF" w:val="clear"/>
        </w:rPr>
        <w:t xml:space="preserve">SVC, </w:t>
      </w:r>
      <w:r>
        <w:rPr>
          <w:rFonts w:ascii="Calibri" w:cs="Arial" w:hAnsi="Calibri"/>
          <w:color w:val="000000"/>
          <w:sz w:val="22"/>
          <w:szCs w:val="22"/>
          <w:shd w:fill="FFFFFF" w:val="clear"/>
        </w:rPr>
        <w:t xml:space="preserve"> Tangará da Serra – </w:t>
      </w:r>
      <w:r>
        <w:rPr>
          <w:rFonts w:ascii="Calibri" w:cs="Arial" w:hAnsi="Calibri"/>
          <w:b/>
          <w:bCs/>
          <w:color w:val="000000"/>
          <w:sz w:val="22"/>
          <w:szCs w:val="22"/>
          <w:shd w:fill="FFFFFF" w:val="clear"/>
        </w:rPr>
        <w:t>TGA e Várzea Grande - VGA</w:t>
      </w:r>
      <w:r>
        <w:rPr>
          <w:rFonts w:ascii="Calibri" w:cs="Arial" w:hAnsi="Calibri"/>
          <w:color w:val="000000"/>
          <w:sz w:val="22"/>
          <w:szCs w:val="22"/>
          <w:shd w:fill="FFFFFF" w:val="clear"/>
        </w:rPr>
        <w:t>. visa a garantir, a qualquer tempo, a aquisição de ferramentas necessárias para realização das atividades de Tecnologia da Informação.</w:t>
      </w:r>
    </w:p>
    <w:p>
      <w:pPr>
        <w:pStyle w:val="style0"/>
        <w:widowControl/>
        <w:numPr>
          <w:ilvl w:val="1"/>
          <w:numId w:val="1"/>
        </w:numPr>
        <w:spacing w:after="120" w:before="120" w:line="276" w:lineRule="auto"/>
        <w:ind w:hanging="432" w:left="1142" w:right="0"/>
        <w:contextualSpacing w:val="false"/>
        <w:jc w:val="both"/>
        <w:rPr>
          <w:rFonts w:ascii="Calibri" w:cs="Arial" w:hAnsi="Calibri"/>
          <w:b w:val="false"/>
          <w:bCs w:val="false"/>
          <w:color w:val="000000"/>
          <w:sz w:val="22"/>
          <w:szCs w:val="22"/>
          <w:shd w:fill="FFFFFF" w:val="clear"/>
        </w:rPr>
      </w:pPr>
      <w:r>
        <w:rPr>
          <w:rFonts w:ascii="Calibri" w:cs="Arial" w:hAnsi="Calibri"/>
          <w:b/>
          <w:bCs/>
          <w:color w:val="000000"/>
          <w:sz w:val="22"/>
          <w:szCs w:val="22"/>
          <w:shd w:fill="FFFFFF" w:val="clear"/>
        </w:rPr>
        <w:t xml:space="preserve"> </w:t>
      </w:r>
      <w:r>
        <w:rPr>
          <w:rFonts w:ascii="Calibri" w:cs="Arial" w:hAnsi="Calibri"/>
          <w:b/>
          <w:bCs/>
          <w:color w:val="000000"/>
          <w:sz w:val="22"/>
          <w:szCs w:val="22"/>
          <w:shd w:fill="FFFFFF" w:val="clear"/>
        </w:rPr>
        <w:t>Justificativa de itens com especificação de marca e modelo</w:t>
      </w:r>
      <w:r>
        <w:rPr>
          <w:rFonts w:ascii="Calibri" w:cs="Arial" w:hAnsi="Calibri"/>
          <w:b w:val="false"/>
          <w:bCs w:val="false"/>
          <w:color w:val="000000"/>
          <w:sz w:val="22"/>
          <w:szCs w:val="22"/>
          <w:shd w:fill="FFFFFF" w:val="clear"/>
        </w:rPr>
        <w:t>. Os itens 2 e 3 possuem definição de marca e modelo, pois são os modelos de placa E1 que são utilizadas nas centrais telefônicas IP do Campus e também já possuem manual de instalação e configuração feita pela equipe de TI do Campus São Vicente, manual que foram compartilhados com os demais Campi do IFMT.</w:t>
      </w:r>
    </w:p>
    <w:p>
      <w:pPr>
        <w:pStyle w:val="style0"/>
        <w:widowControl/>
        <w:numPr>
          <w:ilvl w:val="1"/>
          <w:numId w:val="1"/>
        </w:numPr>
        <w:spacing w:after="120" w:before="120" w:line="276" w:lineRule="auto"/>
        <w:ind w:hanging="432" w:left="1142" w:right="0"/>
        <w:contextualSpacing w:val="false"/>
        <w:jc w:val="both"/>
        <w:rPr>
          <w:rFonts w:ascii="Calibri" w:hAnsi="Calibri"/>
          <w:color w:val="000000"/>
          <w:sz w:val="22"/>
          <w:szCs w:val="22"/>
          <w:shd w:fill="FFFFFF" w:val="clear"/>
        </w:rPr>
      </w:pPr>
      <w:r>
        <w:rPr>
          <w:rFonts w:ascii="Calibri" w:hAnsi="Calibri"/>
          <w:color w:val="000000"/>
          <w:sz w:val="22"/>
          <w:szCs w:val="22"/>
          <w:shd w:fill="FFFFFF" w:val="clear"/>
        </w:rPr>
        <w:t>Optou-se pelo Registro de Preços por ser mais conveniente para a Administração evitando parcelamentos e fracionamento na aquisição, a compra conjunta entre os campi envolvidos visa conquistar melhores preços juntos aos fornecedores trazendo maior economicidade aos cofres públicos, bem como, amplia o alcance dos benefícios alcançados com este processo para a comunidade administrativa e educacional do IFMT. Procedimentos para registro formal de preços relativos a prestação de serviços e aquisições de bens, para contratações futuras.</w:t>
      </w:r>
    </w:p>
    <w:p>
      <w:pPr>
        <w:pStyle w:val="style0"/>
        <w:widowControl/>
        <w:numPr>
          <w:ilvl w:val="1"/>
          <w:numId w:val="1"/>
        </w:numPr>
        <w:spacing w:after="120" w:before="120" w:line="276" w:lineRule="auto"/>
        <w:ind w:hanging="432" w:left="1142" w:right="0"/>
        <w:contextualSpacing w:val="false"/>
        <w:jc w:val="both"/>
        <w:rPr>
          <w:rFonts w:ascii="Calibri" w:hAnsi="Calibri"/>
          <w:color w:val="000000"/>
          <w:sz w:val="22"/>
          <w:szCs w:val="22"/>
          <w:shd w:fill="FFFFFF" w:val="clear"/>
        </w:rPr>
      </w:pPr>
      <w:r>
        <w:rPr>
          <w:rFonts w:ascii="Calibri" w:hAnsi="Calibri"/>
          <w:color w:val="000000"/>
          <w:sz w:val="22"/>
          <w:szCs w:val="22"/>
          <w:shd w:fill="FFFFFF" w:val="clear"/>
        </w:rPr>
        <w:t xml:space="preserve"> </w:t>
      </w:r>
      <w:r>
        <w:rPr>
          <w:rFonts w:ascii="Calibri" w:hAnsi="Calibri"/>
          <w:color w:val="000000"/>
          <w:sz w:val="22"/>
          <w:szCs w:val="22"/>
          <w:shd w:fill="FFFFFF" w:val="clear"/>
        </w:rPr>
        <w:t>Justifica-se a indicação de marca nos itens 2 e 3 pois as centrais telefônicas existentes, para as quais os técnicos receberam treinamento estão homologadas com o modelo e marca requisitados. Outros modelos e marcas resultam em novos treinamentos e despesas desnecessários aos cofres da Administração Pública, o Modelo apresentado no item 4, mais genérico trata de centrais contratadas.</w:t>
      </w:r>
    </w:p>
    <w:p>
      <w:pPr>
        <w:pStyle w:val="style0"/>
        <w:widowControl/>
        <w:numPr>
          <w:ilvl w:val="1"/>
          <w:numId w:val="1"/>
        </w:numPr>
        <w:spacing w:after="120" w:before="120" w:line="276" w:lineRule="auto"/>
        <w:ind w:hanging="432" w:left="1142" w:right="0"/>
        <w:contextualSpacing w:val="false"/>
        <w:jc w:val="both"/>
        <w:rPr>
          <w:rFonts w:ascii="Calibri" w:hAnsi="Calibri"/>
          <w:color w:val="000000"/>
          <w:sz w:val="22"/>
          <w:szCs w:val="22"/>
          <w:shd w:fill="FFFFFF" w:val="clear"/>
        </w:rPr>
      </w:pPr>
      <w:r>
        <w:rPr>
          <w:rFonts w:ascii="Calibri" w:hAnsi="Calibri"/>
          <w:color w:val="000000"/>
          <w:sz w:val="22"/>
          <w:szCs w:val="22"/>
          <w:shd w:fill="FFFFFF" w:val="clear"/>
        </w:rPr>
        <w:t>Os Campi Campo Novo do Parecis, Pontes e Lacerda, Campus Cáceres, Várzea Grande justifica sua necessidade para melhor desempenho no atendimento aos usuários.</w:t>
      </w:r>
    </w:p>
    <w:p>
      <w:pPr>
        <w:pStyle w:val="style0"/>
        <w:widowControl/>
        <w:numPr>
          <w:ilvl w:val="1"/>
          <w:numId w:val="1"/>
        </w:numPr>
        <w:spacing w:after="120" w:before="120" w:line="276" w:lineRule="auto"/>
        <w:ind w:hanging="432" w:left="1142" w:right="0"/>
        <w:contextualSpacing w:val="false"/>
        <w:jc w:val="both"/>
        <w:rPr>
          <w:rFonts w:ascii="Calibri" w:hAnsi="Calibri"/>
          <w:color w:val="000000"/>
          <w:sz w:val="22"/>
          <w:szCs w:val="22"/>
          <w:shd w:fill="FFFFFF" w:val="clear"/>
        </w:rPr>
      </w:pPr>
      <w:r>
        <w:rPr>
          <w:rFonts w:ascii="Calibri" w:hAnsi="Calibri"/>
          <w:color w:val="000000"/>
          <w:sz w:val="22"/>
          <w:szCs w:val="22"/>
          <w:shd w:fill="FFFFFF" w:val="clear"/>
        </w:rPr>
        <w:t>O Campus Sorriso justifica-se a sua aquisição para adequar a nova rede de telefonia na sede e Campus Avançado de Guarantã do Norte;</w:t>
      </w:r>
    </w:p>
    <w:p>
      <w:pPr>
        <w:pStyle w:val="style0"/>
        <w:widowControl/>
        <w:numPr>
          <w:ilvl w:val="1"/>
          <w:numId w:val="1"/>
        </w:numPr>
        <w:spacing w:after="120" w:before="120" w:line="276" w:lineRule="auto"/>
        <w:ind w:hanging="432" w:left="1142" w:right="0"/>
        <w:contextualSpacing w:val="false"/>
        <w:jc w:val="both"/>
        <w:rPr>
          <w:rFonts w:ascii="Calibri" w:hAnsi="Calibri"/>
          <w:color w:val="000000"/>
          <w:sz w:val="22"/>
          <w:szCs w:val="22"/>
          <w:shd w:fill="FFFFFF" w:val="clear"/>
        </w:rPr>
      </w:pPr>
      <w:r>
        <w:rPr>
          <w:rFonts w:ascii="Calibri" w:hAnsi="Calibri"/>
          <w:color w:val="000000"/>
          <w:sz w:val="22"/>
          <w:szCs w:val="22"/>
          <w:shd w:fill="FFFFFF" w:val="clear"/>
        </w:rPr>
        <w:t>O Campus Primavera do Leste justifica-se para atender a demanda existente, a fim de otimizar a estrutura telefônica e o desenvolvimento das atividades administrativas e operacionais desempenhadas diariamente na instituição;</w:t>
      </w:r>
    </w:p>
    <w:p>
      <w:pPr>
        <w:pStyle w:val="style0"/>
        <w:widowControl/>
        <w:numPr>
          <w:ilvl w:val="1"/>
          <w:numId w:val="1"/>
        </w:numPr>
        <w:spacing w:after="120" w:before="120" w:line="276" w:lineRule="auto"/>
        <w:ind w:hanging="432" w:left="1142" w:right="0"/>
        <w:contextualSpacing w:val="false"/>
        <w:jc w:val="both"/>
        <w:rPr>
          <w:rFonts w:ascii="Calibri" w:hAnsi="Calibri"/>
          <w:color w:val="000000"/>
          <w:sz w:val="22"/>
          <w:szCs w:val="22"/>
          <w:shd w:fill="FFFFFF" w:val="clear"/>
        </w:rPr>
      </w:pPr>
      <w:r>
        <w:rPr>
          <w:rFonts w:ascii="Calibri" w:hAnsi="Calibri"/>
          <w:color w:val="000000"/>
          <w:sz w:val="22"/>
          <w:szCs w:val="22"/>
          <w:shd w:fill="FFFFFF" w:val="clear"/>
        </w:rPr>
        <w:t xml:space="preserve"> </w:t>
      </w:r>
      <w:r>
        <w:rPr>
          <w:rFonts w:ascii="Calibri" w:hAnsi="Calibri"/>
          <w:color w:val="000000"/>
          <w:sz w:val="22"/>
          <w:szCs w:val="22"/>
          <w:shd w:fill="FFFFFF" w:val="clear"/>
        </w:rPr>
        <w:t>A Reitoria justifica sua aquisição pela busca continua da melhoria e qualidade dos serviços prestados pela DGTI, mediante o pronto atendimento às demandas relacionadas a TI, torna-se imprescindível a aquisição dos itens referidos para a manutenção de todo o parque tecnológico do instituto, de forma a apoiar, tempestivamente os usuários nos processos de trabalho do Órgão e suas atividades finalísticas;</w:t>
      </w:r>
    </w:p>
    <w:p>
      <w:pPr>
        <w:pStyle w:val="style0"/>
        <w:widowControl/>
        <w:numPr>
          <w:ilvl w:val="1"/>
          <w:numId w:val="1"/>
        </w:numPr>
        <w:spacing w:after="120" w:before="120" w:line="276" w:lineRule="auto"/>
        <w:ind w:hanging="432" w:left="1142" w:right="0"/>
        <w:contextualSpacing w:val="false"/>
        <w:jc w:val="both"/>
        <w:rPr>
          <w:rFonts w:ascii="Calibri" w:hAnsi="Calibri"/>
          <w:color w:val="000000"/>
          <w:sz w:val="22"/>
          <w:szCs w:val="22"/>
          <w:shd w:fill="FFFFFF" w:val="clear"/>
        </w:rPr>
      </w:pPr>
      <w:r>
        <w:rPr>
          <w:rFonts w:ascii="Calibri" w:hAnsi="Calibri"/>
          <w:color w:val="000000"/>
          <w:sz w:val="22"/>
          <w:szCs w:val="22"/>
          <w:shd w:fill="FFFFFF" w:val="clear"/>
        </w:rPr>
        <w:t>O Campus Alta Floresta justifica sua aquisição para atender a demanda existentes bem como para estoque e utilização de pequenos reparos preventivo visando a inspeção regular, limpeza, testes e revisões para proporcionar um funcionamento eficiente, seguro e econômico dos equipamentos e para qualquer serviço que envolva reparo e substituição de componentes, com o objetivo de sanar defeitos decorrentes do uso normal de equipamentos.</w:t>
      </w:r>
    </w:p>
    <w:p>
      <w:pPr>
        <w:pStyle w:val="style0"/>
        <w:widowControl/>
        <w:numPr>
          <w:ilvl w:val="1"/>
          <w:numId w:val="1"/>
        </w:numPr>
        <w:spacing w:after="120" w:before="120" w:line="276" w:lineRule="auto"/>
        <w:ind w:hanging="432" w:left="1142" w:right="0"/>
        <w:contextualSpacing w:val="false"/>
        <w:jc w:val="both"/>
        <w:rPr>
          <w:rFonts w:ascii="Calibri" w:hAnsi="Calibri"/>
          <w:color w:val="000000"/>
          <w:sz w:val="22"/>
          <w:szCs w:val="22"/>
        </w:rPr>
      </w:pPr>
      <w:r>
        <w:rPr>
          <w:rFonts w:ascii="Calibri" w:hAnsi="Calibri"/>
          <w:color w:val="000000"/>
          <w:sz w:val="22"/>
          <w:szCs w:val="22"/>
        </w:rPr>
        <w:t xml:space="preserve"> </w:t>
      </w:r>
      <w:r>
        <w:rPr>
          <w:rFonts w:ascii="Calibri" w:hAnsi="Calibri"/>
          <w:color w:val="000000"/>
          <w:sz w:val="22"/>
          <w:szCs w:val="22"/>
        </w:rPr>
        <w:t>O registro de preços será formalizado por intermédio de Ata de Registro de Preços, e nas demais condições previstas neste termo de Referência.</w:t>
      </w:r>
    </w:p>
    <w:p>
      <w:pPr>
        <w:pStyle w:val="style0"/>
        <w:widowControl/>
        <w:numPr>
          <w:ilvl w:val="1"/>
          <w:numId w:val="1"/>
        </w:numPr>
        <w:spacing w:after="120" w:before="120" w:line="276" w:lineRule="auto"/>
        <w:ind w:hanging="432" w:left="1142" w:right="0"/>
        <w:contextualSpacing w:val="false"/>
        <w:jc w:val="both"/>
        <w:rPr>
          <w:rFonts w:ascii="Calibri" w:hAnsi="Calibri"/>
          <w:color w:val="000000"/>
          <w:sz w:val="22"/>
          <w:szCs w:val="22"/>
        </w:rPr>
      </w:pPr>
      <w:r>
        <w:rPr>
          <w:rFonts w:ascii="Calibri" w:hAnsi="Calibri"/>
          <w:color w:val="000000"/>
          <w:sz w:val="22"/>
          <w:szCs w:val="22"/>
        </w:rPr>
        <w:t>A existência de preços registrados não obriga a Administração a firmar as contratações que delas poderão advir, facultando-se a realização de licitação específica para a aquisição pretendida, sendo assegurado ao beneficiário do registro preferência de fornecimento em igualdade de condição.</w:t>
      </w:r>
    </w:p>
    <w:p>
      <w:pPr>
        <w:pStyle w:val="style0"/>
        <w:widowControl/>
        <w:numPr>
          <w:ilvl w:val="1"/>
          <w:numId w:val="1"/>
        </w:numPr>
        <w:spacing w:after="120" w:before="120" w:line="276" w:lineRule="auto"/>
        <w:ind w:hanging="432" w:left="1142" w:right="0"/>
        <w:contextualSpacing w:val="false"/>
        <w:jc w:val="both"/>
        <w:rPr>
          <w:rFonts w:ascii="Calibri" w:cs="Arial" w:hAnsi="Calibri"/>
          <w:b w:val="false"/>
          <w:bCs w:val="false"/>
          <w:color w:val="000000"/>
          <w:sz w:val="22"/>
          <w:szCs w:val="22"/>
          <w:shd w:fill="FFFFFF" w:val="clear"/>
        </w:rPr>
      </w:pPr>
      <w:r>
        <w:rPr>
          <w:rFonts w:ascii="Calibri" w:cs="Arial" w:hAnsi="Calibri"/>
          <w:b w:val="false"/>
          <w:bCs w:val="false"/>
          <w:color w:val="000000"/>
          <w:sz w:val="22"/>
          <w:szCs w:val="22"/>
          <w:shd w:fill="FFFFFF" w:val="clear"/>
        </w:rPr>
        <w:t>Nesta licitação, será firmada uma Ata de Registro de Preços, que é um documento vinculativo, obrigacional, com característica de compromisso para futura contratação, onde se registram os preços, fornecedores, órgãos participantes e condições a serem praticadas, conforme as disposições contidas no instrumento convocatório e propostas apresentadas.</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CLASSIFICAÇÃO DOS BENS COMUNS</w:t>
      </w:r>
    </w:p>
    <w:p>
      <w:pPr>
        <w:pStyle w:val="style0"/>
        <w:widowControl/>
        <w:numPr>
          <w:ilvl w:val="1"/>
          <w:numId w:val="1"/>
        </w:numPr>
        <w:spacing w:after="120" w:before="120" w:line="276" w:lineRule="auto"/>
        <w:ind w:hanging="432" w:left="1142" w:right="0"/>
        <w:contextualSpacing w:val="false"/>
        <w:jc w:val="both"/>
        <w:rPr>
          <w:rFonts w:ascii="Calibri" w:cs="Arial" w:hAnsi="Calibri"/>
          <w:b/>
          <w:color w:val="000000"/>
          <w:sz w:val="22"/>
          <w:szCs w:val="22"/>
        </w:rPr>
      </w:pPr>
      <w:r>
        <w:rPr>
          <w:rFonts w:ascii="Calibri" w:cs="Arial" w:hAnsi="Calibri"/>
          <w:b/>
          <w:color w:val="000000"/>
          <w:sz w:val="22"/>
          <w:szCs w:val="22"/>
        </w:rPr>
        <w:t xml:space="preserve"> </w:t>
      </w:r>
      <w:r>
        <w:rPr>
          <w:rFonts w:ascii="Calibri" w:cs="Arial" w:hAnsi="Calibri"/>
          <w:b/>
          <w:color w:val="000000"/>
          <w:sz w:val="22"/>
          <w:szCs w:val="22"/>
        </w:rPr>
        <w:t>Os bens a serem adquiridos enquadram-se na classificação de bens comuns, nos termos do inciso I do Art. 3º do Decreto 7.892/13, Lei 10.520, de 2002, do Decreto nº 3.555, de 2000, e do Decreto 5.450, de 2005.</w:t>
      </w:r>
    </w:p>
    <w:p>
      <w:pPr>
        <w:pStyle w:val="style0"/>
        <w:numPr>
          <w:ilvl w:val="0"/>
          <w:numId w:val="1"/>
        </w:numPr>
        <w:spacing w:after="120" w:before="120" w:line="276" w:lineRule="auto"/>
        <w:ind w:hanging="360" w:left="360" w:right="0"/>
        <w:contextualSpacing w:val="false"/>
        <w:jc w:val="both"/>
        <w:rPr>
          <w:rFonts w:ascii="Calibri" w:cs="Arial" w:hAnsi="Calibri"/>
          <w:b/>
          <w:bCs/>
          <w:color w:val="000000"/>
          <w:sz w:val="22"/>
          <w:szCs w:val="22"/>
        </w:rPr>
      </w:pPr>
      <w:r>
        <w:rPr>
          <w:rFonts w:ascii="Calibri" w:cs="Arial" w:hAnsi="Calibri"/>
          <w:b/>
          <w:bCs/>
          <w:color w:val="000000"/>
          <w:sz w:val="22"/>
          <w:szCs w:val="22"/>
        </w:rPr>
        <w:t>ENTREGA E CRITÉRIOS DE ACEITAÇÃO DO OBJETO.</w:t>
      </w:r>
    </w:p>
    <w:p>
      <w:pPr>
        <w:pStyle w:val="style0"/>
        <w:widowControl/>
        <w:numPr>
          <w:ilvl w:val="1"/>
          <w:numId w:val="1"/>
        </w:numPr>
        <w:spacing w:after="120" w:before="120" w:line="276" w:lineRule="auto"/>
        <w:ind w:hanging="432" w:left="1142" w:right="0"/>
        <w:contextualSpacing w:val="false"/>
        <w:jc w:val="both"/>
        <w:rPr>
          <w:rFonts w:ascii="Calibri" w:cs="Arial" w:hAnsi="Calibri"/>
          <w:iCs/>
          <w:color w:val="000000"/>
          <w:sz w:val="22"/>
          <w:szCs w:val="22"/>
        </w:rPr>
      </w:pPr>
      <w:r>
        <w:rPr>
          <w:rFonts w:ascii="Calibri" w:cs="Arial" w:hAnsi="Calibri"/>
          <w:iCs/>
          <w:color w:val="000000"/>
          <w:sz w:val="22"/>
          <w:szCs w:val="22"/>
        </w:rPr>
        <w:t xml:space="preserve">O prazo de entrega dos bens é de 20 (VINTE)  dias, contados do recebimento da nota de empenho, em remessa </w:t>
      </w:r>
      <w:r>
        <w:rPr>
          <w:rFonts w:ascii="Calibri" w:cs="Arial" w:hAnsi="Calibri"/>
          <w:i/>
          <w:iCs/>
          <w:color w:val="000000"/>
          <w:sz w:val="22"/>
          <w:szCs w:val="22"/>
        </w:rPr>
        <w:t>única</w:t>
      </w:r>
      <w:r>
        <w:rPr>
          <w:rFonts w:ascii="Calibri" w:cs="Arial" w:hAnsi="Calibri"/>
          <w:iCs/>
          <w:color w:val="000000"/>
          <w:sz w:val="22"/>
          <w:szCs w:val="22"/>
        </w:rPr>
        <w:t>, conforme solicitação dos Campi nos endereços abaixo:</w:t>
      </w:r>
    </w:p>
    <w:p>
      <w:pPr>
        <w:pStyle w:val="style0"/>
        <w:spacing w:line="276" w:lineRule="auto"/>
        <w:jc w:val="both"/>
        <w:rPr/>
      </w:pPr>
      <w:r>
        <w:rPr/>
      </w:r>
    </w:p>
    <w:p>
      <w:pPr>
        <w:pStyle w:val="style0"/>
        <w:widowControl/>
        <w:suppressAutoHyphens w:val="true"/>
        <w:spacing w:line="276" w:lineRule="auto"/>
        <w:ind w:hanging="0" w:left="1210" w:right="0"/>
        <w:jc w:val="both"/>
        <w:rPr>
          <w:rFonts w:ascii="Calibri" w:hAnsi="Calibri"/>
          <w:color w:val="000000"/>
          <w:sz w:val="22"/>
          <w:szCs w:val="22"/>
          <w:shd w:fill="FFFFFF" w:val="clear"/>
        </w:rPr>
      </w:pPr>
      <w:r>
        <w:rPr>
          <w:rFonts w:ascii="Calibri" w:hAnsi="Calibri"/>
          <w:color w:val="000000"/>
          <w:sz w:val="22"/>
          <w:szCs w:val="22"/>
          <w:shd w:fill="FFFFFF" w:val="clear"/>
        </w:rPr>
        <w:t xml:space="preserve">a) a) IFMT - </w:t>
      </w:r>
      <w:r>
        <w:rPr>
          <w:rFonts w:ascii="Calibri" w:hAnsi="Calibri"/>
          <w:b/>
          <w:bCs/>
          <w:color w:val="000000"/>
          <w:sz w:val="22"/>
          <w:szCs w:val="22"/>
          <w:shd w:fill="FFFFFF" w:val="clear"/>
        </w:rPr>
        <w:t>Alta Floresta</w:t>
      </w:r>
      <w:r>
        <w:rPr>
          <w:rFonts w:ascii="Calibri" w:hAnsi="Calibri"/>
          <w:color w:val="000000"/>
          <w:sz w:val="22"/>
          <w:szCs w:val="22"/>
          <w:shd w:fill="FFFFFF" w:val="clear"/>
        </w:rPr>
        <w:t xml:space="preserve"> - Rua A, Bairro: Setor A, 198, Primeiro Andar - CEP: 78580-000, Telefone: (66) 3512-7000, Alta Floresta / MT.</w:t>
      </w:r>
    </w:p>
    <w:p>
      <w:pPr>
        <w:pStyle w:val="style0"/>
        <w:widowControl/>
        <w:suppressAutoHyphens w:val="true"/>
        <w:spacing w:line="276" w:lineRule="auto"/>
        <w:ind w:hanging="0" w:left="1210" w:right="0"/>
        <w:jc w:val="both"/>
        <w:rPr>
          <w:shd w:fill="FFFFFF" w:val="clear"/>
        </w:rPr>
      </w:pPr>
      <w:r>
        <w:rPr>
          <w:shd w:fill="FFFFFF" w:val="clear"/>
        </w:rPr>
      </w:r>
    </w:p>
    <w:p>
      <w:pPr>
        <w:pStyle w:val="style0"/>
        <w:widowControl/>
        <w:suppressAutoHyphens w:val="true"/>
        <w:spacing w:line="276" w:lineRule="auto"/>
        <w:ind w:hanging="0" w:left="1210" w:right="0"/>
        <w:jc w:val="both"/>
        <w:rPr>
          <w:rFonts w:ascii="Calibri" w:hAnsi="Calibri"/>
          <w:color w:val="000000"/>
          <w:sz w:val="22"/>
          <w:szCs w:val="22"/>
          <w:shd w:fill="FFFFFF" w:val="clear"/>
        </w:rPr>
      </w:pPr>
      <w:r>
        <w:rPr>
          <w:rFonts w:ascii="Calibri" w:hAnsi="Calibri"/>
          <w:color w:val="000000"/>
          <w:sz w:val="22"/>
          <w:szCs w:val="22"/>
          <w:shd w:fill="FFFFFF" w:val="clear"/>
        </w:rPr>
        <w:t xml:space="preserve">b) IFMT - </w:t>
      </w:r>
      <w:r>
        <w:rPr>
          <w:rFonts w:ascii="Calibri" w:hAnsi="Calibri"/>
          <w:b/>
          <w:bCs/>
          <w:color w:val="000000"/>
          <w:sz w:val="22"/>
          <w:szCs w:val="22"/>
          <w:shd w:fill="FFFFFF" w:val="clear"/>
        </w:rPr>
        <w:t>Campus Cáceres</w:t>
      </w:r>
      <w:r>
        <w:rPr>
          <w:rFonts w:ascii="Calibri" w:hAnsi="Calibri"/>
          <w:color w:val="000000"/>
          <w:sz w:val="22"/>
          <w:szCs w:val="22"/>
          <w:shd w:fill="FFFFFF" w:val="clear"/>
        </w:rPr>
        <w:t xml:space="preserve"> - Av. dos Ramires, s/n - CEP: 78200-000, Telefone: (65) 3221-2600, Cáceres / MT.</w:t>
      </w:r>
    </w:p>
    <w:p>
      <w:pPr>
        <w:pStyle w:val="style0"/>
        <w:widowControl/>
        <w:suppressAutoHyphens w:val="true"/>
        <w:spacing w:line="276" w:lineRule="auto"/>
        <w:ind w:hanging="0" w:left="1210" w:right="0"/>
        <w:jc w:val="both"/>
        <w:rPr>
          <w:shd w:fill="FFFFFF" w:val="clear"/>
        </w:rPr>
      </w:pPr>
      <w:r>
        <w:rPr>
          <w:shd w:fill="FFFFFF" w:val="clear"/>
        </w:rPr>
      </w:r>
    </w:p>
    <w:p>
      <w:pPr>
        <w:pStyle w:val="style0"/>
        <w:widowControl/>
        <w:suppressAutoHyphens w:val="true"/>
        <w:spacing w:line="276" w:lineRule="auto"/>
        <w:ind w:hanging="0" w:left="1210" w:right="0"/>
        <w:jc w:val="both"/>
        <w:rPr>
          <w:rFonts w:ascii="Calibri" w:hAnsi="Calibri"/>
          <w:color w:val="000000"/>
          <w:sz w:val="22"/>
          <w:szCs w:val="22"/>
          <w:shd w:fill="FFFFFF" w:val="clear"/>
        </w:rPr>
      </w:pPr>
      <w:r>
        <w:rPr>
          <w:rFonts w:ascii="Calibri" w:hAnsi="Calibri"/>
          <w:color w:val="000000"/>
          <w:sz w:val="22"/>
          <w:szCs w:val="22"/>
          <w:shd w:fill="FFFFFF" w:val="clear"/>
        </w:rPr>
        <w:t xml:space="preserve">c) IFMT - </w:t>
      </w:r>
      <w:r>
        <w:rPr>
          <w:rFonts w:ascii="Calibri" w:hAnsi="Calibri"/>
          <w:b/>
          <w:bCs/>
          <w:color w:val="000000"/>
          <w:sz w:val="22"/>
          <w:szCs w:val="22"/>
          <w:shd w:fill="FFFFFF" w:val="clear"/>
        </w:rPr>
        <w:t>Campus Campo Novo do Parecis</w:t>
      </w:r>
      <w:r>
        <w:rPr>
          <w:rFonts w:ascii="Calibri" w:hAnsi="Calibri"/>
          <w:color w:val="000000"/>
          <w:sz w:val="22"/>
          <w:szCs w:val="22"/>
          <w:shd w:fill="FFFFFF" w:val="clear"/>
        </w:rPr>
        <w:t xml:space="preserve"> - MT 235 Km 12, s/n - CEP: 78360-000, Telefone: (65) 3382-6200, Campo Novo do Parecis / MT.</w:t>
      </w:r>
    </w:p>
    <w:p>
      <w:pPr>
        <w:pStyle w:val="style0"/>
        <w:widowControl/>
        <w:suppressAutoHyphens w:val="true"/>
        <w:spacing w:line="276" w:lineRule="auto"/>
        <w:ind w:hanging="0" w:left="1210" w:right="0"/>
        <w:jc w:val="both"/>
        <w:rPr>
          <w:shd w:fill="FFFFFF" w:val="clear"/>
        </w:rPr>
      </w:pPr>
      <w:r>
        <w:rPr>
          <w:shd w:fill="FFFFFF" w:val="clear"/>
        </w:rPr>
      </w:r>
    </w:p>
    <w:p>
      <w:pPr>
        <w:pStyle w:val="style0"/>
        <w:widowControl/>
        <w:suppressAutoHyphens w:val="true"/>
        <w:spacing w:line="276" w:lineRule="auto"/>
        <w:ind w:hanging="0" w:left="1210" w:right="0"/>
        <w:jc w:val="both"/>
        <w:rPr>
          <w:rFonts w:ascii="Calibri" w:hAnsi="Calibri"/>
          <w:color w:val="000000"/>
          <w:sz w:val="22"/>
          <w:szCs w:val="22"/>
          <w:shd w:fill="FFFFFF" w:val="clear"/>
        </w:rPr>
      </w:pPr>
      <w:r>
        <w:rPr>
          <w:rFonts w:ascii="Calibri" w:hAnsi="Calibri"/>
          <w:color w:val="000000"/>
          <w:sz w:val="22"/>
          <w:szCs w:val="22"/>
          <w:shd w:fill="FFFFFF" w:val="clear"/>
        </w:rPr>
        <w:t xml:space="preserve">d) IFMT - </w:t>
      </w:r>
      <w:r>
        <w:rPr>
          <w:rFonts w:ascii="Calibri" w:hAnsi="Calibri"/>
          <w:b/>
          <w:bCs/>
          <w:color w:val="000000"/>
          <w:sz w:val="22"/>
          <w:szCs w:val="22"/>
          <w:shd w:fill="FFFFFF" w:val="clear"/>
        </w:rPr>
        <w:t>Campus Diamantino</w:t>
      </w:r>
      <w:r>
        <w:rPr>
          <w:rFonts w:ascii="Calibri" w:hAnsi="Calibri"/>
          <w:color w:val="000000"/>
          <w:sz w:val="22"/>
          <w:szCs w:val="22"/>
          <w:shd w:fill="FFFFFF" w:val="clear"/>
        </w:rPr>
        <w:t xml:space="preserve"> - Rodovia Roberto Campos - Novo Diamantino, None - CEP: 78400-970, Telefone: (65) 3337-1005, Diamantino / MT.</w:t>
      </w:r>
    </w:p>
    <w:p>
      <w:pPr>
        <w:pStyle w:val="style0"/>
        <w:widowControl/>
        <w:suppressAutoHyphens w:val="true"/>
        <w:spacing w:line="276" w:lineRule="auto"/>
        <w:ind w:hanging="0" w:left="1210" w:right="0"/>
        <w:jc w:val="both"/>
        <w:rPr>
          <w:shd w:fill="FFFFFF" w:val="clear"/>
        </w:rPr>
      </w:pPr>
      <w:r>
        <w:rPr>
          <w:shd w:fill="FFFFFF" w:val="clear"/>
        </w:rPr>
      </w:r>
    </w:p>
    <w:p>
      <w:pPr>
        <w:pStyle w:val="style0"/>
        <w:widowControl/>
        <w:suppressAutoHyphens w:val="true"/>
        <w:spacing w:line="276" w:lineRule="auto"/>
        <w:ind w:hanging="0" w:left="1210" w:right="0"/>
        <w:jc w:val="both"/>
        <w:rPr>
          <w:rFonts w:ascii="Calibri" w:hAnsi="Calibri"/>
          <w:color w:val="000000"/>
          <w:sz w:val="22"/>
          <w:szCs w:val="22"/>
          <w:shd w:fill="FFFFFF" w:val="clear"/>
        </w:rPr>
      </w:pPr>
      <w:r>
        <w:rPr>
          <w:rFonts w:ascii="Calibri" w:hAnsi="Calibri"/>
          <w:color w:val="000000"/>
          <w:sz w:val="22"/>
          <w:szCs w:val="22"/>
          <w:shd w:fill="FFFFFF" w:val="clear"/>
        </w:rPr>
        <w:t xml:space="preserve">e) IFMT - </w:t>
      </w:r>
      <w:r>
        <w:rPr>
          <w:rFonts w:ascii="Calibri" w:hAnsi="Calibri"/>
          <w:b/>
          <w:bCs/>
          <w:color w:val="000000"/>
          <w:sz w:val="22"/>
          <w:szCs w:val="22"/>
          <w:shd w:fill="FFFFFF" w:val="clear"/>
        </w:rPr>
        <w:t>Campus Guarantã do Norte</w:t>
      </w:r>
      <w:r>
        <w:rPr>
          <w:rFonts w:ascii="Calibri" w:hAnsi="Calibri"/>
          <w:color w:val="000000"/>
          <w:sz w:val="22"/>
          <w:szCs w:val="22"/>
          <w:shd w:fill="FFFFFF" w:val="clear"/>
        </w:rPr>
        <w:t xml:space="preserve"> - Rua Cambará nº 1.145, Centro - CEP: 78520-000, Telefone: (65) 9649-9668, Guarantã do Norte / MT.</w:t>
      </w:r>
    </w:p>
    <w:p>
      <w:pPr>
        <w:pStyle w:val="style0"/>
        <w:widowControl/>
        <w:suppressAutoHyphens w:val="true"/>
        <w:spacing w:line="276" w:lineRule="auto"/>
        <w:ind w:hanging="0" w:left="1210" w:right="0"/>
        <w:jc w:val="both"/>
        <w:rPr>
          <w:shd w:fill="FFFFFF" w:val="clear"/>
        </w:rPr>
      </w:pPr>
      <w:r>
        <w:rPr>
          <w:shd w:fill="FFFFFF" w:val="clear"/>
        </w:rPr>
      </w:r>
    </w:p>
    <w:p>
      <w:pPr>
        <w:pStyle w:val="style0"/>
        <w:widowControl/>
        <w:suppressAutoHyphens w:val="true"/>
        <w:spacing w:line="276" w:lineRule="auto"/>
        <w:ind w:hanging="0" w:left="1210" w:right="0"/>
        <w:jc w:val="both"/>
        <w:rPr>
          <w:rFonts w:ascii="Calibri" w:hAnsi="Calibri"/>
          <w:color w:val="000000"/>
          <w:sz w:val="22"/>
          <w:szCs w:val="22"/>
          <w:shd w:fill="FFFFFF" w:val="clear"/>
        </w:rPr>
      </w:pPr>
      <w:r>
        <w:rPr>
          <w:rFonts w:ascii="Calibri" w:hAnsi="Calibri"/>
          <w:color w:val="000000"/>
          <w:sz w:val="22"/>
          <w:szCs w:val="22"/>
          <w:shd w:fill="FFFFFF" w:val="clear"/>
        </w:rPr>
        <w:t xml:space="preserve">f) IFMT - </w:t>
      </w:r>
      <w:r>
        <w:rPr>
          <w:rFonts w:ascii="Calibri" w:hAnsi="Calibri"/>
          <w:b/>
          <w:bCs/>
          <w:color w:val="000000"/>
          <w:sz w:val="22"/>
          <w:szCs w:val="22"/>
          <w:shd w:fill="FFFFFF" w:val="clear"/>
        </w:rPr>
        <w:t>Campus Lucas do Rio Verde</w:t>
      </w:r>
      <w:r>
        <w:rPr>
          <w:rFonts w:ascii="Calibri" w:hAnsi="Calibri"/>
          <w:color w:val="000000"/>
          <w:sz w:val="22"/>
          <w:szCs w:val="22"/>
          <w:shd w:fill="FFFFFF" w:val="clear"/>
        </w:rPr>
        <w:t xml:space="preserve"> - Avenida Universitária 1600-W - Bairro: Parque das Emas - CEP: 78455-000, Telefone: (65) 9686-6126, Lucas do Rio Verde / MT.</w:t>
      </w:r>
    </w:p>
    <w:p>
      <w:pPr>
        <w:pStyle w:val="style0"/>
        <w:widowControl/>
        <w:suppressAutoHyphens w:val="true"/>
        <w:spacing w:line="276" w:lineRule="auto"/>
        <w:ind w:hanging="0" w:left="1210" w:right="0"/>
        <w:jc w:val="both"/>
        <w:rPr>
          <w:shd w:fill="FFFFFF" w:val="clear"/>
        </w:rPr>
      </w:pPr>
      <w:r>
        <w:rPr>
          <w:shd w:fill="FFFFFF" w:val="clear"/>
        </w:rPr>
      </w:r>
    </w:p>
    <w:p>
      <w:pPr>
        <w:pStyle w:val="style0"/>
        <w:widowControl/>
        <w:suppressAutoHyphens w:val="true"/>
        <w:spacing w:line="276" w:lineRule="auto"/>
        <w:ind w:hanging="0" w:left="1210" w:right="0"/>
        <w:jc w:val="both"/>
        <w:rPr>
          <w:rFonts w:ascii="Calibri" w:hAnsi="Calibri"/>
          <w:color w:val="000000"/>
          <w:sz w:val="22"/>
          <w:szCs w:val="22"/>
          <w:shd w:fill="FFFFFF" w:val="clear"/>
        </w:rPr>
      </w:pPr>
      <w:r>
        <w:rPr>
          <w:rFonts w:ascii="Calibri" w:hAnsi="Calibri"/>
          <w:color w:val="000000"/>
          <w:sz w:val="22"/>
          <w:szCs w:val="22"/>
          <w:shd w:fill="FFFFFF" w:val="clear"/>
        </w:rPr>
        <w:t xml:space="preserve">g) IFMT - </w:t>
      </w:r>
      <w:r>
        <w:rPr>
          <w:rFonts w:ascii="Calibri" w:hAnsi="Calibri"/>
          <w:b/>
          <w:bCs/>
          <w:color w:val="000000"/>
          <w:sz w:val="22"/>
          <w:szCs w:val="22"/>
          <w:shd w:fill="FFFFFF" w:val="clear"/>
        </w:rPr>
        <w:t>Campus Pontes e Lacerda</w:t>
      </w:r>
      <w:r>
        <w:rPr>
          <w:rFonts w:ascii="Calibri" w:hAnsi="Calibri"/>
          <w:color w:val="000000"/>
          <w:sz w:val="22"/>
          <w:szCs w:val="22"/>
          <w:shd w:fill="FFFFFF" w:val="clear"/>
        </w:rPr>
        <w:t xml:space="preserve"> - Rodovia MT-473, s/n - CEP: 78250-000, Telefone: (65) 32668200/3266-8241, Pontes e Lacerda / MT.</w:t>
      </w:r>
    </w:p>
    <w:p>
      <w:pPr>
        <w:pStyle w:val="style0"/>
        <w:widowControl/>
        <w:suppressAutoHyphens w:val="true"/>
        <w:spacing w:line="276" w:lineRule="auto"/>
        <w:ind w:hanging="0" w:left="1210" w:right="0"/>
        <w:jc w:val="both"/>
        <w:rPr>
          <w:shd w:fill="FFFFFF" w:val="clear"/>
        </w:rPr>
      </w:pPr>
      <w:r>
        <w:rPr>
          <w:shd w:fill="FFFFFF" w:val="clear"/>
        </w:rPr>
      </w:r>
    </w:p>
    <w:p>
      <w:pPr>
        <w:pStyle w:val="style0"/>
        <w:widowControl/>
        <w:suppressAutoHyphens w:val="true"/>
        <w:spacing w:line="276" w:lineRule="auto"/>
        <w:ind w:hanging="0" w:left="1210" w:right="0"/>
        <w:jc w:val="both"/>
        <w:rPr>
          <w:rFonts w:ascii="Calibri" w:hAnsi="Calibri"/>
          <w:color w:val="000000"/>
          <w:sz w:val="22"/>
          <w:szCs w:val="22"/>
          <w:shd w:fill="FFFFFF" w:val="clear"/>
        </w:rPr>
      </w:pPr>
      <w:r>
        <w:rPr>
          <w:rFonts w:ascii="Calibri" w:hAnsi="Calibri"/>
          <w:color w:val="000000"/>
          <w:sz w:val="22"/>
          <w:szCs w:val="22"/>
          <w:shd w:fill="FFFFFF" w:val="clear"/>
        </w:rPr>
        <w:t xml:space="preserve">h) IFMT - </w:t>
      </w:r>
      <w:r>
        <w:rPr>
          <w:rFonts w:ascii="Calibri" w:hAnsi="Calibri"/>
          <w:b/>
          <w:bCs/>
          <w:color w:val="000000"/>
          <w:sz w:val="22"/>
          <w:szCs w:val="22"/>
          <w:shd w:fill="FFFFFF" w:val="clear"/>
        </w:rPr>
        <w:t>Reitoria</w:t>
      </w:r>
      <w:r>
        <w:rPr>
          <w:rFonts w:ascii="Calibri" w:hAnsi="Calibri"/>
          <w:color w:val="000000"/>
          <w:sz w:val="22"/>
          <w:szCs w:val="22"/>
          <w:shd w:fill="FFFFFF" w:val="clear"/>
        </w:rPr>
        <w:t xml:space="preserve"> - Avenida Sen. Filinto Müller, 953 - Bairro: Duque de Caxias - CEP: 78043-400, Telefone: (65) 3616-4100, Cuiabá / MT.</w:t>
      </w:r>
    </w:p>
    <w:p>
      <w:pPr>
        <w:pStyle w:val="style0"/>
        <w:widowControl/>
        <w:suppressAutoHyphens w:val="true"/>
        <w:spacing w:line="276" w:lineRule="auto"/>
        <w:ind w:hanging="0" w:left="1210" w:right="0"/>
        <w:jc w:val="both"/>
        <w:rPr>
          <w:shd w:fill="FFFFFF" w:val="clear"/>
        </w:rPr>
      </w:pPr>
      <w:r>
        <w:rPr>
          <w:shd w:fill="FFFFFF" w:val="clear"/>
        </w:rPr>
      </w:r>
    </w:p>
    <w:p>
      <w:pPr>
        <w:pStyle w:val="style0"/>
        <w:widowControl/>
        <w:suppressAutoHyphens w:val="true"/>
        <w:spacing w:line="276" w:lineRule="auto"/>
        <w:ind w:hanging="0" w:left="1210" w:right="0"/>
        <w:jc w:val="both"/>
        <w:rPr>
          <w:rFonts w:ascii="Calibri" w:hAnsi="Calibri"/>
          <w:color w:val="000000"/>
          <w:sz w:val="22"/>
          <w:szCs w:val="22"/>
          <w:shd w:fill="FFFFFF" w:val="clear"/>
        </w:rPr>
      </w:pPr>
      <w:r>
        <w:rPr>
          <w:rFonts w:ascii="Calibri" w:hAnsi="Calibri"/>
          <w:color w:val="000000"/>
          <w:sz w:val="22"/>
          <w:szCs w:val="22"/>
          <w:shd w:fill="FFFFFF" w:val="clear"/>
        </w:rPr>
        <w:t xml:space="preserve">i) IFMT - </w:t>
      </w:r>
      <w:r>
        <w:rPr>
          <w:rFonts w:ascii="Calibri" w:hAnsi="Calibri"/>
          <w:b/>
          <w:bCs/>
          <w:color w:val="000000"/>
          <w:sz w:val="22"/>
          <w:szCs w:val="22"/>
          <w:shd w:fill="FFFFFF" w:val="clear"/>
        </w:rPr>
        <w:t>Campus Sinop</w:t>
      </w:r>
      <w:r>
        <w:rPr>
          <w:rFonts w:ascii="Calibri" w:hAnsi="Calibri"/>
          <w:color w:val="000000"/>
          <w:sz w:val="22"/>
          <w:szCs w:val="22"/>
          <w:shd w:fill="FFFFFF" w:val="clear"/>
        </w:rPr>
        <w:t xml:space="preserve"> - Rua das Avencas, 2377, Setor Comercial, Centro - CEP: 78557-477-000, Telefone: (65) 9952-0013, Sinop / MT.</w:t>
      </w:r>
    </w:p>
    <w:p>
      <w:pPr>
        <w:pStyle w:val="style0"/>
        <w:widowControl/>
        <w:suppressAutoHyphens w:val="true"/>
        <w:spacing w:line="276" w:lineRule="auto"/>
        <w:ind w:hanging="0" w:left="1210" w:right="0"/>
        <w:jc w:val="both"/>
        <w:rPr>
          <w:shd w:fill="FFFFFF" w:val="clear"/>
        </w:rPr>
      </w:pPr>
      <w:r>
        <w:rPr>
          <w:shd w:fill="FFFFFF" w:val="clear"/>
        </w:rPr>
      </w:r>
    </w:p>
    <w:p>
      <w:pPr>
        <w:pStyle w:val="style0"/>
        <w:widowControl/>
        <w:suppressAutoHyphens w:val="true"/>
        <w:spacing w:line="276" w:lineRule="auto"/>
        <w:ind w:hanging="0" w:left="1210" w:right="0"/>
        <w:jc w:val="both"/>
        <w:rPr>
          <w:rFonts w:ascii="Calibri" w:hAnsi="Calibri"/>
          <w:color w:val="000000"/>
          <w:sz w:val="22"/>
          <w:szCs w:val="22"/>
          <w:shd w:fill="FFFFFF" w:val="clear"/>
        </w:rPr>
      </w:pPr>
      <w:r>
        <w:rPr>
          <w:rFonts w:ascii="Calibri" w:hAnsi="Calibri"/>
          <w:color w:val="000000"/>
          <w:sz w:val="22"/>
          <w:szCs w:val="22"/>
          <w:shd w:fill="FFFFFF" w:val="clear"/>
        </w:rPr>
        <w:t xml:space="preserve">j) IFMT - </w:t>
      </w:r>
      <w:r>
        <w:rPr>
          <w:rFonts w:ascii="Calibri" w:hAnsi="Calibri"/>
          <w:b/>
          <w:bCs/>
          <w:color w:val="000000"/>
          <w:sz w:val="22"/>
          <w:szCs w:val="22"/>
          <w:shd w:fill="FFFFFF" w:val="clear"/>
        </w:rPr>
        <w:t>Campus Sorriso</w:t>
      </w:r>
      <w:r>
        <w:rPr>
          <w:rFonts w:ascii="Calibri" w:hAnsi="Calibri"/>
          <w:color w:val="000000"/>
          <w:sz w:val="22"/>
          <w:szCs w:val="22"/>
          <w:shd w:fill="FFFFFF" w:val="clear"/>
        </w:rPr>
        <w:t xml:space="preserve"> - Av. dos Universitários, 799, Bairro: Santa Clara - CEP: 78890-000, Telefone: (65) 9961-2297 - (65) 9985-6928, Sorriso / MT.</w:t>
      </w:r>
    </w:p>
    <w:p>
      <w:pPr>
        <w:pStyle w:val="style0"/>
        <w:widowControl/>
        <w:suppressAutoHyphens w:val="true"/>
        <w:spacing w:line="276" w:lineRule="auto"/>
        <w:ind w:hanging="0" w:left="1210" w:right="0"/>
        <w:jc w:val="both"/>
        <w:rPr>
          <w:shd w:fill="FFFFFF" w:val="clear"/>
        </w:rPr>
      </w:pPr>
      <w:r>
        <w:rPr>
          <w:shd w:fill="FFFFFF" w:val="clear"/>
        </w:rPr>
      </w:r>
    </w:p>
    <w:p>
      <w:pPr>
        <w:pStyle w:val="style0"/>
        <w:widowControl/>
        <w:suppressAutoHyphens w:val="true"/>
        <w:spacing w:line="276" w:lineRule="auto"/>
        <w:ind w:hanging="0" w:left="1210" w:right="0"/>
        <w:jc w:val="both"/>
        <w:rPr>
          <w:rFonts w:ascii="Calibri" w:hAnsi="Calibri"/>
          <w:color w:val="000000"/>
          <w:sz w:val="22"/>
          <w:szCs w:val="22"/>
          <w:shd w:fill="FFFFFF" w:val="clear"/>
        </w:rPr>
      </w:pPr>
      <w:r>
        <w:rPr>
          <w:rFonts w:ascii="Calibri" w:hAnsi="Calibri"/>
          <w:color w:val="000000"/>
          <w:sz w:val="22"/>
          <w:szCs w:val="22"/>
          <w:shd w:fill="FFFFFF" w:val="clear"/>
        </w:rPr>
        <w:t xml:space="preserve">k) IFMT - </w:t>
      </w:r>
      <w:r>
        <w:rPr>
          <w:rFonts w:ascii="Calibri" w:hAnsi="Calibri"/>
          <w:b/>
          <w:bCs/>
          <w:color w:val="000000"/>
          <w:sz w:val="22"/>
          <w:szCs w:val="22"/>
          <w:shd w:fill="FFFFFF" w:val="clear"/>
        </w:rPr>
        <w:t xml:space="preserve">Campus São Vicente </w:t>
      </w:r>
      <w:r>
        <w:rPr>
          <w:rFonts w:ascii="Calibri" w:hAnsi="Calibri"/>
          <w:color w:val="000000"/>
          <w:sz w:val="22"/>
          <w:szCs w:val="22"/>
          <w:shd w:fill="FFFFFF" w:val="clear"/>
        </w:rPr>
        <w:t>- SVC - Rodovia BR 364, Km 329, Vila de São Vicente, Município de Santo Antonio do Leverger - MT, Telefone: (65) 3341-2110.</w:t>
      </w:r>
    </w:p>
    <w:p>
      <w:pPr>
        <w:pStyle w:val="style0"/>
        <w:widowControl/>
        <w:suppressAutoHyphens w:val="true"/>
        <w:spacing w:line="276" w:lineRule="auto"/>
        <w:ind w:hanging="0" w:left="1210" w:right="0"/>
        <w:jc w:val="both"/>
        <w:rPr>
          <w:shd w:fill="FFFFFF" w:val="clear"/>
        </w:rPr>
      </w:pPr>
      <w:r>
        <w:rPr>
          <w:shd w:fill="FFFFFF" w:val="clear"/>
        </w:rPr>
      </w:r>
    </w:p>
    <w:p>
      <w:pPr>
        <w:pStyle w:val="style0"/>
        <w:widowControl/>
        <w:suppressAutoHyphens w:val="true"/>
        <w:spacing w:line="276" w:lineRule="auto"/>
        <w:ind w:hanging="0" w:left="1210" w:right="0"/>
        <w:jc w:val="both"/>
        <w:rPr>
          <w:rFonts w:ascii="Calibri" w:cs="Arial" w:hAnsi="Calibri"/>
          <w:iCs/>
          <w:color w:val="000000"/>
          <w:sz w:val="22"/>
          <w:szCs w:val="22"/>
          <w:shd w:fill="FFFFFF" w:val="clear"/>
        </w:rPr>
      </w:pPr>
      <w:r>
        <w:rPr>
          <w:rFonts w:ascii="Calibri" w:cs="Arial" w:hAnsi="Calibri"/>
          <w:iCs/>
          <w:color w:val="000000"/>
          <w:sz w:val="22"/>
          <w:szCs w:val="22"/>
          <w:shd w:fill="FFFFFF" w:val="clear"/>
        </w:rPr>
        <w:t xml:space="preserve">l) IFMT - </w:t>
      </w:r>
      <w:r>
        <w:rPr>
          <w:rFonts w:ascii="Calibri" w:cs="Arial" w:hAnsi="Calibri"/>
          <w:b/>
          <w:bCs/>
          <w:iCs/>
          <w:color w:val="000000"/>
          <w:sz w:val="22"/>
          <w:szCs w:val="22"/>
          <w:shd w:fill="FFFFFF" w:val="clear"/>
        </w:rPr>
        <w:t>Campus Tangará da Serra</w:t>
      </w:r>
      <w:r>
        <w:rPr>
          <w:rFonts w:ascii="Calibri" w:cs="Arial" w:hAnsi="Calibri"/>
          <w:iCs/>
          <w:color w:val="000000"/>
          <w:sz w:val="22"/>
          <w:szCs w:val="22"/>
          <w:shd w:fill="FFFFFF" w:val="clear"/>
        </w:rPr>
        <w:t xml:space="preserve"> - Rua 28, 980 N - CEP: 78300-000, Telefone: (65) 3311-8500, Tangará da Serra / MT.</w:t>
      </w:r>
    </w:p>
    <w:p>
      <w:pPr>
        <w:pStyle w:val="style0"/>
        <w:widowControl/>
        <w:suppressAutoHyphens w:val="true"/>
        <w:spacing w:line="276" w:lineRule="auto"/>
        <w:ind w:hanging="0" w:left="1210" w:right="0"/>
        <w:jc w:val="both"/>
        <w:rPr>
          <w:rFonts w:ascii="Calibri" w:cs="Arial" w:hAnsi="Calibri"/>
          <w:iCs/>
          <w:color w:val="000000"/>
          <w:sz w:val="22"/>
          <w:szCs w:val="22"/>
          <w:shd w:fill="FFFFFF" w:val="clear"/>
        </w:rPr>
      </w:pPr>
      <w:r>
        <w:rPr>
          <w:rFonts w:ascii="Calibri" w:cs="Arial" w:hAnsi="Calibri"/>
          <w:iCs/>
          <w:color w:val="000000"/>
          <w:sz w:val="22"/>
          <w:szCs w:val="22"/>
          <w:shd w:fill="FFFFFF" w:val="clear"/>
        </w:rPr>
        <w:t xml:space="preserve">m) IFMT – </w:t>
      </w:r>
      <w:r>
        <w:rPr>
          <w:rFonts w:ascii="Calibri" w:cs="Arial" w:hAnsi="Calibri"/>
          <w:b/>
          <w:bCs/>
          <w:iCs/>
          <w:color w:val="000000"/>
          <w:sz w:val="22"/>
          <w:szCs w:val="22"/>
          <w:shd w:fill="FFFFFF" w:val="clear"/>
        </w:rPr>
        <w:t>Campus Várzea Grande</w:t>
      </w:r>
      <w:r>
        <w:rPr>
          <w:rFonts w:ascii="Calibri" w:cs="Arial" w:hAnsi="Calibri"/>
          <w:iCs/>
          <w:color w:val="000000"/>
          <w:sz w:val="22"/>
          <w:szCs w:val="22"/>
          <w:shd w:fill="FFFFFF" w:val="clear"/>
        </w:rPr>
        <w:t xml:space="preserve"> – Avenida Tiradentes, nº 1300, Lot. Jardim Manaira, Petropolis, Varzea Grande – MT, CEP 78144-424;</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 xml:space="preserve">Os bens serão recebidos provisoriamente no prazo de 5 (cinco) dias, pelo(a) responsável pelo acompanhamento e fiscalização do contrato, para efeito de posterior verificação de sua conformidade com as especificações constantes neste Termo de Referência e na proposta. </w:t>
      </w:r>
    </w:p>
    <w:p>
      <w:pPr>
        <w:pStyle w:val="style0"/>
        <w:numPr>
          <w:ilvl w:val="1"/>
          <w:numId w:val="1"/>
        </w:numPr>
        <w:spacing w:after="120" w:before="120" w:line="276" w:lineRule="auto"/>
        <w:ind w:hanging="432" w:left="1142" w:right="0"/>
        <w:contextualSpacing w:val="false"/>
        <w:jc w:val="both"/>
        <w:rPr>
          <w:rFonts w:ascii="Calibri" w:cs="Arial" w:hAnsi="Calibri"/>
          <w:bCs/>
          <w:color w:val="000000"/>
          <w:sz w:val="22"/>
          <w:szCs w:val="22"/>
        </w:rPr>
      </w:pPr>
      <w:r>
        <w:rPr>
          <w:rFonts w:ascii="Calibri" w:cs="Arial" w:hAnsi="Calibri"/>
          <w:bCs/>
          <w:color w:val="000000"/>
          <w:sz w:val="22"/>
          <w:szCs w:val="22"/>
        </w:rPr>
        <w:t>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Os bens serão recebidos definitivamente no prazo de 10 (dez) dias, contados do recebimento provisório, após a verificação da qualidade e quantidade do material e consequente aceitação mediante termo circunstanciado.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Na hipótese de a verificação a que se refere o subitem anterior não ser procedida dentro do prazo fixado, reputar-se-á como realizada, consumando-se o recebimento definitivo no dia do esgotamento do prazo.</w:t>
      </w:r>
    </w:p>
    <w:p>
      <w:pPr>
        <w:pStyle w:val="style0"/>
        <w:numPr>
          <w:ilvl w:val="2"/>
          <w:numId w:val="1"/>
        </w:numPr>
        <w:spacing w:after="120" w:before="120" w:line="276" w:lineRule="auto"/>
        <w:ind w:hanging="504" w:left="1639" w:right="0"/>
        <w:contextualSpacing w:val="false"/>
        <w:jc w:val="both"/>
        <w:rPr>
          <w:rFonts w:ascii="Calibri" w:hAnsi="Calibri"/>
          <w:color w:val="000000"/>
          <w:sz w:val="22"/>
          <w:szCs w:val="22"/>
        </w:rPr>
      </w:pPr>
      <w:r>
        <w:rPr>
          <w:rFonts w:ascii="Calibri" w:hAnsi="Calibri"/>
          <w:color w:val="000000"/>
          <w:sz w:val="22"/>
          <w:szCs w:val="22"/>
        </w:rPr>
        <w:t>Serão observados os prazos de validade indicados pelos fabricantes.</w:t>
      </w:r>
    </w:p>
    <w:p>
      <w:pPr>
        <w:pStyle w:val="style0"/>
        <w:numPr>
          <w:ilvl w:val="2"/>
          <w:numId w:val="1"/>
        </w:numPr>
        <w:spacing w:after="120" w:before="120" w:line="276" w:lineRule="auto"/>
        <w:ind w:hanging="504" w:left="1639" w:right="0"/>
        <w:contextualSpacing w:val="false"/>
        <w:jc w:val="both"/>
        <w:rPr>
          <w:rFonts w:ascii="Calibri" w:hAnsi="Calibri"/>
          <w:color w:val="000000"/>
          <w:sz w:val="22"/>
          <w:szCs w:val="22"/>
        </w:rPr>
      </w:pPr>
      <w:r>
        <w:rPr>
          <w:rFonts w:ascii="Calibri" w:hAnsi="Calibri"/>
          <w:color w:val="000000"/>
          <w:sz w:val="22"/>
          <w:szCs w:val="22"/>
        </w:rPr>
        <w:t xml:space="preserve"> </w:t>
      </w:r>
      <w:r>
        <w:rPr>
          <w:rFonts w:ascii="Calibri" w:hAnsi="Calibri"/>
          <w:color w:val="000000"/>
          <w:sz w:val="22"/>
          <w:szCs w:val="22"/>
        </w:rPr>
        <w:t>O prazo mínimo de garantia de fábrica dos produtos deverá ser de no mínimo 12 meses, a partir do recebimento definitivo dos produtos.</w:t>
      </w:r>
    </w:p>
    <w:p>
      <w:pPr>
        <w:pStyle w:val="style0"/>
        <w:numPr>
          <w:ilvl w:val="2"/>
          <w:numId w:val="1"/>
        </w:numPr>
        <w:spacing w:after="120" w:before="120" w:line="276" w:lineRule="auto"/>
        <w:ind w:hanging="504" w:left="1639" w:right="0"/>
        <w:contextualSpacing w:val="false"/>
        <w:jc w:val="both"/>
        <w:rPr>
          <w:rFonts w:ascii="Calibri" w:cs="Arial" w:hAnsi="Calibri"/>
          <w:b w:val="false"/>
          <w:bCs w:val="false"/>
          <w:color w:val="000000"/>
          <w:sz w:val="22"/>
          <w:szCs w:val="22"/>
          <w:lang w:eastAsia="en-US"/>
        </w:rPr>
      </w:pPr>
      <w:r>
        <w:rPr>
          <w:rFonts w:ascii="Calibri" w:cs="Arial" w:hAnsi="Calibri"/>
          <w:b w:val="false"/>
          <w:bCs w:val="false"/>
          <w:color w:val="000000"/>
          <w:sz w:val="22"/>
          <w:szCs w:val="22"/>
          <w:lang w:eastAsia="en-US"/>
        </w:rPr>
        <w:t xml:space="preserve"> </w:t>
      </w:r>
      <w:r>
        <w:rPr>
          <w:rFonts w:ascii="Calibri" w:cs="Arial" w:hAnsi="Calibri"/>
          <w:b w:val="false"/>
          <w:bCs w:val="false"/>
          <w:color w:val="000000"/>
          <w:sz w:val="22"/>
          <w:szCs w:val="22"/>
          <w:lang w:eastAsia="en-US"/>
        </w:rPr>
        <w:t>Não serão aceitos produtos com validade vencida ou com data de fabricação defasada que comprometa a sua plena utilização.</w:t>
      </w:r>
    </w:p>
    <w:p>
      <w:pPr>
        <w:pStyle w:val="style0"/>
        <w:widowControl/>
        <w:numPr>
          <w:ilvl w:val="1"/>
          <w:numId w:val="1"/>
        </w:numPr>
        <w:spacing w:after="120" w:before="120" w:line="276" w:lineRule="auto"/>
        <w:ind w:hanging="432" w:left="1142" w:right="0"/>
        <w:contextualSpacing w:val="false"/>
        <w:jc w:val="both"/>
        <w:rPr>
          <w:rFonts w:ascii="Calibri" w:cs="Arial" w:hAnsi="Calibri"/>
          <w:b w:val="false"/>
          <w:bCs w:val="false"/>
          <w:color w:val="000000"/>
          <w:sz w:val="22"/>
          <w:szCs w:val="22"/>
          <w:lang w:eastAsia="en-US"/>
        </w:rPr>
      </w:pPr>
      <w:r>
        <w:rPr>
          <w:rFonts w:ascii="Calibri" w:cs="Arial" w:hAnsi="Calibri"/>
          <w:b w:val="false"/>
          <w:bCs w:val="false"/>
          <w:color w:val="000000"/>
          <w:sz w:val="22"/>
          <w:szCs w:val="22"/>
          <w:lang w:eastAsia="en-US"/>
        </w:rPr>
        <w:t>Relativamente ao disposto no Edital, aplica-se também, subsidiariamente, no que couberem, as disposições do Código de Defesa do Consumidor, instituído pela Lei nº. 8.078, de 11 de setembro de 1990.</w:t>
      </w:r>
    </w:p>
    <w:p>
      <w:pPr>
        <w:pStyle w:val="style0"/>
        <w:widowControl/>
        <w:numPr>
          <w:ilvl w:val="1"/>
          <w:numId w:val="1"/>
        </w:numPr>
        <w:spacing w:after="120" w:before="120" w:line="276" w:lineRule="auto"/>
        <w:ind w:hanging="432" w:left="1142" w:right="0"/>
        <w:contextualSpacing w:val="false"/>
        <w:jc w:val="both"/>
        <w:rPr>
          <w:rFonts w:ascii="Calibri" w:cs="Arial" w:hAnsi="Calibri"/>
          <w:b w:val="false"/>
          <w:bCs w:val="false"/>
          <w:color w:val="000000"/>
          <w:sz w:val="22"/>
          <w:szCs w:val="22"/>
          <w:lang w:eastAsia="en-US"/>
        </w:rPr>
      </w:pPr>
      <w:r>
        <w:rPr>
          <w:rFonts w:ascii="Calibri" w:cs="Arial" w:hAnsi="Calibri"/>
          <w:b w:val="false"/>
          <w:bCs w:val="false"/>
          <w:color w:val="000000"/>
          <w:sz w:val="22"/>
          <w:szCs w:val="22"/>
          <w:lang w:eastAsia="en-US"/>
        </w:rPr>
        <w:t>É vedado o fornecimento de qualquer produto em desacordo com as normas expedidas, pelos órgãos oficiais competentes ou, se normas especificadas não existirem, pela Associação Brasileira de Normas Técnicas ou outra entidade credenciada oficial.</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O recebimento provisório ou definitivo do objeto não exclui a responsabilidade da contratada pelos prejuízos resultantes da incorreta execução do contrato.</w:t>
      </w:r>
    </w:p>
    <w:p>
      <w:pPr>
        <w:pStyle w:val="style0"/>
        <w:spacing w:after="120" w:before="0" w:line="276" w:lineRule="auto"/>
        <w:ind w:hanging="0" w:left="567" w:right="-15"/>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bCs/>
          <w:color w:val="000000"/>
          <w:sz w:val="22"/>
          <w:szCs w:val="22"/>
          <w:lang w:eastAsia="en-US"/>
        </w:rPr>
      </w:pPr>
      <w:r>
        <w:rPr>
          <w:rFonts w:ascii="Calibri" w:cs="Arial" w:hAnsi="Calibri"/>
          <w:b/>
          <w:bCs/>
          <w:color w:val="000000"/>
          <w:sz w:val="22"/>
          <w:szCs w:val="22"/>
          <w:lang w:eastAsia="en-US"/>
        </w:rPr>
        <w:t>DAS OBRIGAÇÕES DA CONTRATANTE</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São obrigações da Contratante: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Receber o objeto no prazo e condições estabelecidas no Edital e seus anexos;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Verificar minuciosamente, no prazo fixado, a conformidade dos bens recebidos provisoriamente com as especificações constantes do Edital e da proposta, para fins de aceitação e recebimento definitivo;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Comunicar à Contratada, por escrito, sobre imperfeições, falhas ou irregularidades verificadas no objeto fornecido, para que seja substituído, reparado ou corrigido;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Acompanhar e fiscalizar o cumprimento das obrigações da Contratada, através de comissão/servidor especialmente designado;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Efetuar o pagamento à Contratada</w:t>
      </w:r>
      <w:r>
        <w:rPr>
          <w:rFonts w:ascii="Calibri" w:cs="Arial" w:hAnsi="Calibri"/>
          <w:b/>
          <w:color w:val="000000"/>
          <w:sz w:val="22"/>
          <w:szCs w:val="22"/>
        </w:rPr>
        <w:t xml:space="preserve"> </w:t>
      </w:r>
      <w:r>
        <w:rPr>
          <w:rFonts w:ascii="Calibri" w:cs="Arial" w:hAnsi="Calibri"/>
          <w:color w:val="000000"/>
          <w:sz w:val="22"/>
          <w:szCs w:val="22"/>
        </w:rPr>
        <w:t>no valor correspondente ao fornecimento do objeto, no prazo e forma estabelecidos no Edital e seus anexos;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Administração realizará pesquisa de preços periodicamente, em prazo não superior a 180 (cento e oitenta) dias, a fim de verificar a vantajosidade dos preços registrados em Ata.</w:t>
      </w:r>
    </w:p>
    <w:p>
      <w:pPr>
        <w:pStyle w:val="style0"/>
        <w:spacing w:after="120" w:before="120" w:line="276" w:lineRule="auto"/>
        <w:ind w:hanging="432" w:left="425" w:right="0"/>
        <w:contextualSpacing w:val="false"/>
        <w:jc w:val="both"/>
        <w:rPr>
          <w:rFonts w:ascii="Calibri" w:hAnsi="Calibri"/>
          <w:color w:val="000000"/>
          <w:sz w:val="22"/>
          <w:szCs w:val="22"/>
        </w:rPr>
      </w:pPr>
      <w:r>
        <w:rPr>
          <w:rFonts w:ascii="Calibri" w:hAnsi="Calibri"/>
          <w:color w:val="000000"/>
          <w:sz w:val="22"/>
          <w:szCs w:val="22"/>
        </w:rPr>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rPr>
      </w:pPr>
      <w:r>
        <w:rPr>
          <w:rFonts w:ascii="Calibri" w:cs="Arial" w:hAnsi="Calibri"/>
          <w:b/>
          <w:color w:val="000000"/>
          <w:sz w:val="22"/>
          <w:szCs w:val="22"/>
        </w:rPr>
        <w:t>OBRIGAÇÕES DA CONTRATADA</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Contratada deve cumprir todas as obrigações constantes no Edital, seus anexos e sua proposta, assumindo como exclusivamente seus os riscos e as despesas decorrentes da boa e perfeita execução do objeto e, ainda:</w:t>
      </w:r>
    </w:p>
    <w:p>
      <w:pPr>
        <w:pStyle w:val="style0"/>
        <w:numPr>
          <w:ilvl w:val="2"/>
          <w:numId w:val="1"/>
        </w:numPr>
        <w:spacing w:after="120" w:before="120" w:line="276" w:lineRule="auto"/>
        <w:ind w:hanging="504" w:left="1639" w:right="0"/>
        <w:contextualSpacing w:val="false"/>
        <w:jc w:val="both"/>
        <w:rPr>
          <w:rFonts w:ascii="Calibri" w:cs="Arial" w:hAnsi="Calibri"/>
          <w:i/>
          <w:color w:val="000000"/>
          <w:sz w:val="22"/>
          <w:szCs w:val="22"/>
        </w:rPr>
      </w:pPr>
      <w:r>
        <w:rPr>
          <w:rFonts w:ascii="Calibri" w:cs="Arial" w:hAnsi="Calibri"/>
          <w:color w:val="000000"/>
          <w:sz w:val="22"/>
          <w:szCs w:val="22"/>
        </w:rPr>
        <w:t xml:space="preserve">Efetuar a entrega do objeto em perfeitas condições, conforme especificações, prazo e local constantes no Edital e seus anexos, acompanhado da respectiva nota fiscal, na qual constarão as indicações referentes a: </w:t>
      </w:r>
      <w:r>
        <w:rPr>
          <w:rFonts w:ascii="Calibri" w:cs="Arial" w:hAnsi="Calibri"/>
          <w:i/>
          <w:color w:val="000000"/>
          <w:sz w:val="22"/>
          <w:szCs w:val="22"/>
        </w:rPr>
        <w:t>marca, fabricante, modelo, procedência e prazo de validade;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Responsabilizar-se pelos vícios e danos decorrentes do objeto, de acordo com os artigos 12, 13 e 17 a 27, do Código de Defesa do Consumidor (Lei nº 8.078, de 1990);</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Substituir, reparar ou corrigir, às suas expensas, no prazo fixado neste Termo de Referência, o objeto com avarias ou defeitos;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Comunicar à Contratante, no prazo máximo de 24 (vinte e quatro) horas que antecede a data da entrega, os motivos que impossibilitem o cumprimento do prazo previsto, com a devida comprovação;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Manter, durante toda a execução do contrato, em compatibilidade com as obrigações assumidas, todas as condições de habilitação e qualificação exigidas na licitação;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Indicar preposto para representá-la durante a execução do contrato.</w:t>
      </w:r>
    </w:p>
    <w:p>
      <w:pPr>
        <w:pStyle w:val="style0"/>
        <w:pageBreakBefore/>
        <w:widowControl/>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Entregar o material no Setor de Almoxarifado do respectivo órgão participante, em horário normal de expediente, das 8:00 às 17:00  horas, sendo que seu recebimento definitivo só será feito após aprovado e atestado.</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 SUBCONTRATAÇÃO</w:t>
      </w:r>
    </w:p>
    <w:p>
      <w:pPr>
        <w:pStyle w:val="style0"/>
        <w:spacing w:after="120" w:before="120" w:line="276" w:lineRule="auto"/>
        <w:ind w:hanging="0" w:left="425" w:right="0"/>
        <w:contextualSpacing w:val="false"/>
        <w:jc w:val="both"/>
        <w:rPr>
          <w:rFonts w:ascii="Calibri" w:cs="Arial" w:hAnsi="Calibri"/>
          <w:i/>
          <w:color w:val="000000"/>
          <w:sz w:val="22"/>
          <w:szCs w:val="22"/>
        </w:rPr>
      </w:pPr>
      <w:r>
        <w:rPr>
          <w:rFonts w:ascii="Calibri" w:cs="Arial" w:hAnsi="Calibri"/>
          <w:i/>
          <w:color w:val="000000"/>
          <w:sz w:val="22"/>
          <w:szCs w:val="22"/>
        </w:rPr>
        <w:t>7.1 Não será admitida a subcontratação do objeto licitatório.</w:t>
      </w:r>
    </w:p>
    <w:p>
      <w:pPr>
        <w:pStyle w:val="style0"/>
        <w:spacing w:after="120" w:before="120" w:line="276" w:lineRule="auto"/>
        <w:ind w:hanging="0" w:left="425"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ALTERAÇÃO SUBJETIVA</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style0"/>
        <w:spacing w:after="120" w:before="120" w:line="276" w:lineRule="auto"/>
        <w:ind w:hanging="0" w:left="425"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CONTROLE DA EXECUÇÃO</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 recebimento de material de valor superior a R$ 80.000,00 (oitenta mil reais) será confiado a uma comissão de, no mínimo, 3 (três) membros, designados pela autoridade competente.</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A fiscalização de que trata este item não exclui nem reduz a </w:t>
      </w:r>
      <w:r>
        <w:rPr>
          <w:rFonts w:ascii="Calibri" w:cs="Arial" w:hAnsi="Calibri"/>
          <w:color w:val="000000"/>
          <w:sz w:val="22"/>
          <w:szCs w:val="22"/>
        </w:rPr>
        <w:t>responsabilidade</w:t>
      </w:r>
      <w:r>
        <w:rPr>
          <w:rFonts w:ascii="Calibri" w:cs="Arial" w:hAnsi="Calibri"/>
          <w:color w:val="000000"/>
          <w:sz w:val="22"/>
          <w:szCs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pPr>
        <w:pStyle w:val="style0"/>
        <w:spacing w:after="120" w:before="0" w:line="276" w:lineRule="auto"/>
        <w:ind w:hanging="0" w:left="540" w:right="-17"/>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rPr>
      </w:pPr>
      <w:r>
        <w:rPr>
          <w:rFonts w:ascii="Calibri" w:cs="Arial" w:hAnsi="Calibri"/>
          <w:b/>
          <w:color w:val="000000"/>
          <w:sz w:val="22"/>
          <w:szCs w:val="22"/>
        </w:rPr>
        <w:t>DAS SANÇÕES ADMINISTRATIVAS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Comete infração administrativa nos termos da Lei nº 8.666, de 1993 e da Lei nº 10.520, de 2002, a Contratada que: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Inexecutar total ou parcialmente qualquer das obrigações assumidas em decorrência da contratação;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Ensejar o retardamento da execução do objeto;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Fraudar na execução do contrato;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Comportar-se de modo inidôneo;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Cometer fraude fiscal;</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Não mantiver a proposta.</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Contratada que cometer qualquer das infrações discriminadas no subitem acima ficará sujeita, sem prejuízo da responsabilidade civil e criminal, às seguintes sanções: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Advertência por faltas leves, assim entendidas aquelas que não acarretem prejuízos significativos para a Contratante;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Multa moratória de 0,5% (zero vírgula cinco por cento) por dia de atraso injustificado sobre o valor da parcela inadimplida, até o limite de 30 (trinta) dias;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Multa compensatória de 10% (dez por cento) sobre o valor total do contrato, no caso de inexecução total do objeto;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Em caso de inexecução parcial, a multa compensatória, no mesmo percentual do subitem acima, será aplicada de forma proporcional à obrigação inadimplida;</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 xml:space="preserve">Suspensão de licitar e impedimento de contratar com o órgão, entidade ou unidade administrativa pela qual a Administração Pública opera e atua concretamente, pelo prazo de até dois anos; </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Impedimento de licitar e contratar com a União com o consequente descredenciamento no SICAF pelo prazo de até cinco anos;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Também ficam sujeitas às penalidades do art. 87, III e IV da Lei nº 8.666, de 1993, as empresas e os profissionais que: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Tenham sofrido condenação definitiva por praticar, por meio dolosos, fraude fiscal no recolhimento de quaisquer tributos;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Tenham praticado atos ilícitos visando a frustrar os objetivos da licitação;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Demonstrem não possuir idoneidade para contratar com a Administração em virtude de atos ilícitos praticados.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autoridade competente, na aplicação das sanções, levará em consideração a gravidade da conduta do infrator, o caráter educativo da pena, bem como o dano causado à Administração, observado o princípio da proporcionalidade.</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As penalidades serão obrigatoriamente registradas no SICAF.</w:t>
      </w:r>
    </w:p>
    <w:p>
      <w:pPr>
        <w:pStyle w:val="style0"/>
        <w:spacing w:after="120" w:before="120" w:line="276" w:lineRule="auto"/>
        <w:ind w:hanging="432" w:left="425" w:right="0"/>
        <w:contextualSpacing w:val="false"/>
        <w:jc w:val="both"/>
        <w:rPr>
          <w:rFonts w:ascii="Calibri" w:hAnsi="Calibri"/>
          <w:color w:val="000000"/>
          <w:sz w:val="22"/>
          <w:szCs w:val="22"/>
        </w:rPr>
      </w:pPr>
      <w:r>
        <w:rPr>
          <w:rFonts w:ascii="Calibri" w:hAnsi="Calibri"/>
          <w:color w:val="000000"/>
          <w:sz w:val="22"/>
          <w:szCs w:val="22"/>
        </w:rPr>
      </w:r>
    </w:p>
    <w:p>
      <w:pPr>
        <w:pStyle w:val="style0"/>
        <w:spacing w:after="120" w:before="120" w:line="276" w:lineRule="auto"/>
        <w:ind w:hanging="432" w:left="425" w:right="0"/>
        <w:contextualSpacing w:val="false"/>
        <w:jc w:val="both"/>
        <w:rPr>
          <w:rFonts w:ascii="Calibri" w:hAnsi="Calibri"/>
          <w:color w:val="000000"/>
          <w:sz w:val="22"/>
          <w:szCs w:val="22"/>
        </w:rPr>
      </w:pPr>
      <w:r>
        <w:rPr>
          <w:rFonts w:ascii="Calibri" w:hAnsi="Calibri"/>
          <w:color w:val="000000"/>
          <w:sz w:val="22"/>
          <w:szCs w:val="22"/>
        </w:rPr>
      </w:r>
    </w:p>
    <w:p>
      <w:pPr>
        <w:pStyle w:val="style0"/>
        <w:spacing w:after="360" w:before="0"/>
        <w:ind w:hanging="0" w:left="360" w:right="0"/>
        <w:contextualSpacing w:val="false"/>
        <w:rPr>
          <w:rFonts w:ascii="Calibri" w:cs="Arial" w:hAnsi="Calibri"/>
          <w:color w:val="000000"/>
          <w:sz w:val="22"/>
          <w:szCs w:val="22"/>
        </w:rPr>
      </w:pPr>
      <w:r>
        <w:rPr>
          <w:rFonts w:ascii="Calibri" w:cs="Arial" w:hAnsi="Calibri"/>
          <w:i/>
          <w:color w:val="000000"/>
          <w:sz w:val="22"/>
          <w:szCs w:val="22"/>
        </w:rPr>
        <w:t>São Vicente da Serra - MT</w:t>
      </w:r>
      <w:r>
        <w:rPr>
          <w:rFonts w:ascii="Calibri" w:cs="Arial" w:hAnsi="Calibri"/>
          <w:b/>
          <w:bCs/>
          <w:color w:val="000000"/>
          <w:sz w:val="22"/>
          <w:szCs w:val="22"/>
        </w:rPr>
        <w:t xml:space="preserve"> </w:t>
      </w:r>
      <w:r>
        <w:rPr>
          <w:rFonts w:ascii="Calibri" w:cs="Arial" w:hAnsi="Calibri"/>
          <w:b/>
          <w:bCs/>
          <w:color w:val="000000"/>
          <w:sz w:val="22"/>
          <w:szCs w:val="22"/>
        </w:rPr>
        <w:t>18</w:t>
      </w:r>
      <w:r>
        <w:rPr>
          <w:rFonts w:ascii="Calibri" w:cs="Arial" w:hAnsi="Calibri"/>
          <w:b/>
          <w:bCs/>
          <w:color w:val="000000"/>
          <w:sz w:val="22"/>
          <w:szCs w:val="22"/>
        </w:rPr>
        <w:t xml:space="preserve"> de </w:t>
      </w:r>
      <w:r>
        <w:rPr>
          <w:rFonts w:ascii="Calibri" w:cs="Arial" w:hAnsi="Calibri"/>
          <w:b/>
          <w:bCs/>
          <w:color w:val="000000"/>
          <w:sz w:val="22"/>
          <w:szCs w:val="22"/>
        </w:rPr>
        <w:t>setembro 2017</w:t>
      </w:r>
      <w:r>
        <w:rPr>
          <w:rFonts w:ascii="Calibri" w:cs="Arial" w:hAnsi="Calibri"/>
          <w:color w:val="000000"/>
          <w:sz w:val="22"/>
          <w:szCs w:val="22"/>
        </w:rPr>
        <w:t xml:space="preserve">. </w:t>
      </w:r>
    </w:p>
    <w:p>
      <w:pPr>
        <w:pStyle w:val="style49"/>
        <w:jc w:val="center"/>
        <w:rPr>
          <w:rFonts w:ascii="Calibri" w:cs="Arial" w:hAnsi="Calibri"/>
          <w:b/>
          <w:bCs/>
          <w:color w:val="000000"/>
          <w:sz w:val="22"/>
          <w:szCs w:val="22"/>
        </w:rPr>
      </w:pPr>
      <w:r>
        <w:rPr>
          <w:rFonts w:ascii="Calibri" w:cs="Arial" w:hAnsi="Calibri"/>
          <w:b/>
          <w:bCs/>
          <w:color w:val="000000"/>
          <w:sz w:val="22"/>
          <w:szCs w:val="22"/>
        </w:rPr>
      </w:r>
    </w:p>
    <w:p>
      <w:pPr>
        <w:pStyle w:val="style49"/>
        <w:jc w:val="center"/>
        <w:rPr>
          <w:rFonts w:ascii="Calibri" w:cs="Arial" w:hAnsi="Calibri"/>
          <w:b/>
          <w:bCs/>
          <w:color w:val="000000"/>
          <w:sz w:val="22"/>
          <w:szCs w:val="22"/>
        </w:rPr>
      </w:pPr>
      <w:r>
        <w:rPr>
          <w:rFonts w:ascii="Calibri" w:cs="Arial" w:hAnsi="Calibri"/>
          <w:b/>
          <w:bCs/>
          <w:color w:val="000000"/>
          <w:sz w:val="22"/>
          <w:szCs w:val="22"/>
        </w:rPr>
        <w:t>OSVALDO MARTINS CAPELANI</w:t>
      </w:r>
    </w:p>
    <w:p>
      <w:pPr>
        <w:pStyle w:val="style49"/>
        <w:jc w:val="center"/>
        <w:rPr>
          <w:rFonts w:ascii="Calibri" w:cs="Arial" w:hAnsi="Calibri"/>
          <w:b/>
          <w:bCs/>
          <w:color w:val="000000"/>
          <w:sz w:val="22"/>
          <w:szCs w:val="22"/>
        </w:rPr>
      </w:pPr>
      <w:r>
        <w:rPr>
          <w:rFonts w:ascii="Calibri" w:cs="Arial" w:hAnsi="Calibri"/>
          <w:b/>
          <w:bCs/>
          <w:color w:val="000000"/>
          <w:sz w:val="22"/>
          <w:szCs w:val="22"/>
        </w:rPr>
        <w:t>Coordenador de Tecnologia da Informação</w:t>
      </w:r>
    </w:p>
    <w:p>
      <w:pPr>
        <w:pStyle w:val="style49"/>
        <w:jc w:val="center"/>
        <w:rPr>
          <w:rFonts w:ascii="Calibri" w:cs="Arial" w:hAnsi="Calibri"/>
          <w:color w:val="000000"/>
          <w:sz w:val="22"/>
          <w:szCs w:val="22"/>
        </w:rPr>
      </w:pPr>
      <w:r>
        <w:rPr>
          <w:rFonts w:ascii="Calibri" w:cs="Arial" w:hAnsi="Calibri"/>
          <w:color w:val="000000"/>
          <w:sz w:val="22"/>
          <w:szCs w:val="22"/>
        </w:rPr>
      </w:r>
    </w:p>
    <w:p>
      <w:pPr>
        <w:pStyle w:val="style49"/>
        <w:jc w:val="center"/>
        <w:rPr>
          <w:rFonts w:ascii="Calibri" w:cs="Arial" w:hAnsi="Calibri"/>
          <w:b/>
          <w:color w:val="000000"/>
          <w:sz w:val="22"/>
          <w:szCs w:val="22"/>
        </w:rPr>
      </w:pPr>
      <w:r>
        <w:rPr>
          <w:rFonts w:ascii="Calibri" w:cs="Arial" w:hAnsi="Calibri"/>
          <w:b/>
          <w:color w:val="000000"/>
          <w:sz w:val="22"/>
          <w:szCs w:val="22"/>
        </w:rPr>
        <w:t>FRANCIELLY KAROLINE AIRES CARLINI</w:t>
      </w:r>
    </w:p>
    <w:p>
      <w:pPr>
        <w:pStyle w:val="style49"/>
        <w:jc w:val="center"/>
        <w:rPr>
          <w:rFonts w:ascii="Calibri" w:cs="Arial" w:hAnsi="Calibri"/>
          <w:b/>
          <w:bCs/>
          <w:color w:val="000000"/>
          <w:sz w:val="22"/>
          <w:szCs w:val="22"/>
        </w:rPr>
      </w:pPr>
      <w:r>
        <w:rPr>
          <w:rFonts w:ascii="Calibri" w:cs="Arial" w:hAnsi="Calibri"/>
          <w:b/>
          <w:bCs/>
          <w:color w:val="000000"/>
          <w:sz w:val="22"/>
          <w:szCs w:val="22"/>
        </w:rPr>
        <w:t>Diretora de Administração e Planejamento</w:t>
      </w:r>
    </w:p>
    <w:p>
      <w:pPr>
        <w:pStyle w:val="style0"/>
        <w:jc w:val="center"/>
        <w:rPr>
          <w:rFonts w:ascii="Calibri" w:cs="Arial" w:hAnsi="Calibri"/>
          <w:color w:val="000000"/>
          <w:sz w:val="22"/>
          <w:szCs w:val="22"/>
        </w:rPr>
      </w:pPr>
      <w:r>
        <w:rPr>
          <w:rFonts w:ascii="Calibri" w:cs="Arial" w:hAnsi="Calibri"/>
          <w:color w:val="000000"/>
          <w:sz w:val="22"/>
          <w:szCs w:val="22"/>
        </w:rPr>
      </w:r>
    </w:p>
    <w:p>
      <w:pPr>
        <w:pStyle w:val="style49"/>
        <w:rPr>
          <w:rFonts w:ascii="Calibri" w:cs="Arial" w:hAnsi="Calibri"/>
          <w:color w:val="000000"/>
          <w:sz w:val="22"/>
          <w:szCs w:val="22"/>
        </w:rPr>
      </w:pPr>
      <w:r>
        <w:rPr>
          <w:rFonts w:ascii="Calibri" w:cs="Arial" w:hAnsi="Calibri"/>
          <w:color w:val="000000"/>
          <w:sz w:val="22"/>
          <w:szCs w:val="22"/>
        </w:rPr>
        <w:t>Aprovo o presente Termo de Referência e autorizo a continuidade do Processo. Desde que se obedeçam as formalidades legais, bem como as estabelecidas neste Termo de Referência.</w:t>
      </w:r>
    </w:p>
    <w:p>
      <w:pPr>
        <w:pStyle w:val="style0"/>
        <w:jc w:val="both"/>
        <w:rPr>
          <w:rFonts w:ascii="Calibri" w:cs="Arial" w:hAnsi="Calibri"/>
          <w:color w:val="000000"/>
          <w:sz w:val="22"/>
          <w:szCs w:val="22"/>
        </w:rPr>
      </w:pPr>
      <w:r>
        <w:rPr>
          <w:rFonts w:ascii="Calibri" w:cs="Arial" w:hAnsi="Calibri"/>
          <w:color w:val="000000"/>
          <w:sz w:val="22"/>
          <w:szCs w:val="22"/>
        </w:rPr>
      </w:r>
    </w:p>
    <w:p>
      <w:pPr>
        <w:pStyle w:val="style0"/>
        <w:jc w:val="both"/>
        <w:rPr>
          <w:rFonts w:ascii="Calibri" w:cs="Arial" w:hAnsi="Calibri"/>
          <w:color w:val="000000"/>
          <w:sz w:val="22"/>
          <w:szCs w:val="22"/>
        </w:rPr>
      </w:pPr>
      <w:r>
        <w:rPr>
          <w:rFonts w:ascii="Calibri" w:cs="Arial" w:hAnsi="Calibri"/>
          <w:color w:val="000000"/>
          <w:sz w:val="22"/>
          <w:szCs w:val="22"/>
        </w:rPr>
        <w:t>Em, ______/______/_____</w:t>
      </w:r>
    </w:p>
    <w:p>
      <w:pPr>
        <w:pStyle w:val="style49"/>
        <w:jc w:val="center"/>
        <w:rPr>
          <w:rFonts w:ascii="Calibri" w:cs="Arial" w:hAnsi="Calibri"/>
          <w:color w:val="000000"/>
          <w:sz w:val="22"/>
          <w:szCs w:val="22"/>
        </w:rPr>
      </w:pPr>
      <w:r>
        <w:rPr>
          <w:rFonts w:ascii="Calibri" w:cs="Arial" w:hAnsi="Calibri"/>
          <w:color w:val="000000"/>
          <w:sz w:val="22"/>
          <w:szCs w:val="22"/>
        </w:rPr>
      </w:r>
    </w:p>
    <w:p>
      <w:pPr>
        <w:pStyle w:val="style49"/>
        <w:jc w:val="center"/>
        <w:rPr>
          <w:rFonts w:ascii="Calibri" w:cs="Arial" w:hAnsi="Calibri"/>
          <w:b/>
          <w:bCs/>
          <w:color w:val="000000"/>
          <w:sz w:val="22"/>
          <w:szCs w:val="22"/>
        </w:rPr>
      </w:pPr>
      <w:r>
        <w:rPr>
          <w:rFonts w:ascii="Calibri" w:cs="Arial" w:hAnsi="Calibri"/>
          <w:b/>
          <w:bCs/>
          <w:color w:val="000000"/>
          <w:sz w:val="22"/>
          <w:szCs w:val="22"/>
        </w:rPr>
        <w:t>KIVIO DOS SANTOS WOGEL</w:t>
      </w:r>
    </w:p>
    <w:p>
      <w:pPr>
        <w:pStyle w:val="style0"/>
        <w:spacing w:after="360" w:before="0"/>
        <w:ind w:hanging="0" w:left="360" w:right="0"/>
        <w:contextualSpacing w:val="false"/>
        <w:jc w:val="center"/>
        <w:rPr>
          <w:rFonts w:ascii="Calibri" w:cs="Arial" w:hAnsi="Calibri"/>
          <w:b/>
          <w:bCs/>
          <w:color w:val="000000"/>
          <w:sz w:val="22"/>
          <w:szCs w:val="22"/>
        </w:rPr>
      </w:pPr>
      <w:r>
        <w:rPr>
          <w:rFonts w:ascii="Calibri" w:cs="Arial" w:hAnsi="Calibri"/>
          <w:b/>
          <w:bCs/>
          <w:color w:val="000000"/>
          <w:sz w:val="22"/>
          <w:szCs w:val="22"/>
        </w:rPr>
        <w:t>Diretor-Geral IFMT – Campus São Vicente</w:t>
      </w:r>
    </w:p>
    <w:p>
      <w:pPr>
        <w:pStyle w:val="style0"/>
        <w:spacing w:after="360" w:before="0"/>
        <w:ind w:hanging="0" w:left="360" w:right="0"/>
        <w:contextualSpacing w:val="false"/>
        <w:rPr>
          <w:rFonts w:ascii="Calibri" w:cs="Arial" w:hAnsi="Calibri"/>
          <w:color w:val="000000"/>
          <w:sz w:val="22"/>
          <w:szCs w:val="22"/>
        </w:rPr>
      </w:pPr>
      <w:r>
        <w:rPr>
          <w:rFonts w:ascii="Calibri" w:cs="Arial" w:hAnsi="Calibri"/>
          <w:color w:val="000000"/>
          <w:sz w:val="22"/>
          <w:szCs w:val="22"/>
        </w:rPr>
      </w:r>
    </w:p>
    <w:p>
      <w:pPr>
        <w:pStyle w:val="style0"/>
        <w:rPr/>
      </w:pPr>
      <w:r>
        <w:rPr/>
      </w:r>
    </w:p>
    <w:p>
      <w:pPr>
        <w:pStyle w:val="style0"/>
        <w:rPr/>
      </w:pPr>
      <w:r>
        <w:rPr/>
      </w:r>
    </w:p>
    <w:p>
      <w:pPr>
        <w:pStyle w:val="style0"/>
        <w:rPr/>
      </w:pPr>
      <w:r>
        <w:rPr/>
      </w:r>
    </w:p>
    <w:p>
      <w:pPr>
        <w:pStyle w:val="style0"/>
        <w:rPr/>
      </w:pPr>
      <w:r>
        <w:rPr/>
      </w:r>
    </w:p>
    <w:sectPr>
      <w:footerReference r:id="rId3" w:type="default"/>
      <w:type w:val="nextPage"/>
      <w:pgSz w:h="16838" w:w="11906"/>
      <w:pgMar w:bottom="1418" w:footer="708" w:gutter="0" w:header="0" w:left="1701" w:right="1134" w:top="1418"/>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w:charset w:val="00"/>
    <w:family w:val="roman"/>
    <w:pitch w:val="variable"/>
  </w:font>
  <w:font w:name="Cambria">
    <w:charset w:val="00"/>
    <w:family w:val="roman"/>
    <w:pitch w:val="variable"/>
  </w:font>
  <w:font w:name="Tahoma">
    <w:charset w:val="00"/>
    <w:family w:val="roman"/>
    <w:pitch w:val="variable"/>
  </w:font>
  <w:font w:name="Ecofont_Spranq_eco_Sans">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62"/>
      <w:rPr>
        <w:rFonts w:ascii="Times New Roman" w:cs="Times New Roman" w:hAnsi="Times New Roman"/>
      </w:rPr>
    </w:pPr>
    <w:r>
      <w:rPr>
        <w:rFonts w:ascii="Times New Roman" w:cs="Times New Roman" w:hAnsi="Times New Roman"/>
      </w:rPr>
      <w:t>__________________________________________________________________</w:t>
    </w:r>
  </w:p>
  <w:p>
    <w:pPr>
      <w:pStyle w:val="style62"/>
      <w:rPr>
        <w:rFonts w:cs="Arial"/>
        <w:sz w:val="12"/>
        <w:szCs w:val="12"/>
      </w:rPr>
    </w:pPr>
    <w:r>
      <w:rPr>
        <w:rFonts w:cs="Arial"/>
        <w:sz w:val="12"/>
        <w:szCs w:val="12"/>
      </w:rPr>
      <w:t>Comissão Permanente de Atualização de Editais da Consultoria-Geral da União</w:t>
    </w:r>
  </w:p>
  <w:p>
    <w:pPr>
      <w:pStyle w:val="style62"/>
      <w:rPr>
        <w:rFonts w:cs="Arial"/>
        <w:sz w:val="12"/>
        <w:szCs w:val="12"/>
      </w:rPr>
    </w:pPr>
    <w:r>
      <w:rPr>
        <w:rFonts w:cs="Arial"/>
        <w:sz w:val="12"/>
        <w:szCs w:val="12"/>
      </w:rPr>
      <w:t>Termo de Referência - Modelo para SRP Pregão Eletrônico – Compras</w:t>
    </w:r>
  </w:p>
  <w:p>
    <w:pPr>
      <w:pStyle w:val="style62"/>
      <w:rPr>
        <w:rFonts w:cs="Arial"/>
        <w:sz w:val="12"/>
        <w:szCs w:val="12"/>
      </w:rPr>
    </w:pPr>
    <w:r>
      <w:rPr>
        <w:rFonts w:cs="Arial"/>
        <w:sz w:val="12"/>
        <w:szCs w:val="12"/>
      </w:rPr>
      <w:t>Atualização: Janeiro/2016</w:t>
    </w:r>
  </w:p>
</w:ft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decimal"/>
      <w:lvlText w:val="%1."/>
      <w:lvlJc w:val="left"/>
      <w:pPr>
        <w:ind w:hanging="360" w:left="360"/>
      </w:pPr>
      <w:rPr>
        <w:b/>
      </w:rPr>
    </w:lvl>
    <w:lvl w:ilvl="1">
      <w:start w:val="1"/>
      <w:numFmt w:val="decimal"/>
      <w:lvlText w:val="%1.%2."/>
      <w:lvlJc w:val="left"/>
      <w:pPr>
        <w:ind w:hanging="432" w:left="1142"/>
      </w:pPr>
      <w:rPr>
        <w:color w:val="00000A"/>
        <w:i w:val="false"/>
        <w:b w:val="false"/>
      </w:rPr>
    </w:lvl>
    <w:lvl w:ilvl="2">
      <w:start w:val="1"/>
      <w:numFmt w:val="decimal"/>
      <w:lvlText w:val="%1.%2.%3."/>
      <w:lvlJc w:val="left"/>
      <w:pPr>
        <w:ind w:hanging="504" w:left="1639"/>
      </w:pPr>
      <w:rPr>
        <w:color w:val="00000A"/>
        <w:i w:val="false"/>
        <w:b w:val="false"/>
      </w:r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ettings.xml><?xml version="1.0" encoding="utf-8"?>
<w:settings xmlns:w="http://schemas.openxmlformats.org/wordprocessingml/2006/main">
  <w:zoom w:percent="115"/>
  <w:defaultTabStop w:val="708"/>
</w:settings>
</file>

<file path=word/styles.xml><?xml version="1.0" encoding="utf-8"?>
<w:styles xmlns:w="http://schemas.openxmlformats.org/wordprocessingml/2006/main">
  <w:style w:styleId="style0" w:type="paragraph">
    <w:name w:val="Normal"/>
    <w:next w:val="style0"/>
    <w:pPr>
      <w:widowControl/>
      <w:suppressAutoHyphens w:val="true"/>
    </w:pPr>
    <w:rPr>
      <w:rFonts w:ascii="Arial" w:cs="Tahoma" w:eastAsia="Times New Roman" w:hAnsi="Arial"/>
      <w:color w:val="00000A"/>
      <w:sz w:val="24"/>
      <w:szCs w:val="24"/>
      <w:lang w:bidi="ar-SA" w:eastAsia="pt-BR" w:val="pt-BR"/>
    </w:rPr>
  </w:style>
  <w:style w:styleId="style1" w:type="paragraph">
    <w:name w:val="Título 1"/>
    <w:basedOn w:val="style0"/>
    <w:next w:val="style1"/>
    <w:pPr>
      <w:keepNext/>
      <w:keepLines/>
      <w:spacing w:after="0" w:before="240"/>
      <w:contextualSpacing w:val="false"/>
    </w:pPr>
    <w:rPr>
      <w:rFonts w:ascii="Cambria" w:cs="" w:hAnsi="Cambria"/>
      <w:color w:val="365F91"/>
      <w:sz w:val="32"/>
      <w:szCs w:val="32"/>
    </w:rPr>
  </w:style>
  <w:style w:styleId="style2" w:type="paragraph">
    <w:name w:val="Título 2"/>
    <w:basedOn w:val="style0"/>
    <w:next w:val="style2"/>
    <w:pPr>
      <w:keepNext/>
      <w:tabs>
        <w:tab w:leader="none" w:pos="1701" w:val="left"/>
      </w:tabs>
      <w:ind w:hanging="0" w:left="0" w:right="-1"/>
      <w:jc w:val="center"/>
    </w:pPr>
    <w:rPr>
      <w:rFonts w:ascii="Times New Roman" w:cs="Times New Roman" w:hAnsi="Times New Roman"/>
      <w:b/>
      <w:color w:val="000000"/>
      <w:szCs w:val="20"/>
    </w:rPr>
  </w:style>
  <w:style w:styleId="style15" w:type="character">
    <w:name w:val="Default Paragraph Font"/>
    <w:next w:val="style15"/>
    <w:rPr/>
  </w:style>
  <w:style w:styleId="style16" w:type="character">
    <w:name w:val="Balloon Text Char"/>
    <w:next w:val="style16"/>
    <w:rPr>
      <w:rFonts w:ascii="Tahoma" w:cs="Tahoma" w:hAnsi="Tahoma"/>
      <w:sz w:val="16"/>
      <w:szCs w:val="16"/>
    </w:rPr>
  </w:style>
  <w:style w:styleId="style17" w:type="character">
    <w:name w:val="Heading 2 Char"/>
    <w:next w:val="style17"/>
    <w:rPr>
      <w:b/>
      <w:color w:val="000000"/>
      <w:sz w:val="24"/>
    </w:rPr>
  </w:style>
  <w:style w:styleId="style18" w:type="character">
    <w:name w:val="normal__char1"/>
    <w:next w:val="style18"/>
    <w:rPr>
      <w:rFonts w:ascii="Arial" w:cs="Arial" w:hAnsi="Arial"/>
      <w:strike w:val="false"/>
      <w:dstrike w:val="false"/>
      <w:sz w:val="24"/>
      <w:szCs w:val="24"/>
      <w:u w:val="none"/>
      <w:effect w:val="none"/>
    </w:rPr>
  </w:style>
  <w:style w:styleId="style19" w:type="character">
    <w:name w:val="apple-style-span"/>
    <w:basedOn w:val="style15"/>
    <w:next w:val="style19"/>
    <w:rPr/>
  </w:style>
  <w:style w:styleId="style20" w:type="character">
    <w:name w:val="Link da Internet"/>
    <w:next w:val="style20"/>
    <w:rPr>
      <w:color w:val="000080"/>
      <w:u w:val="single"/>
      <w:lang w:bidi="zxx-" w:eastAsia="zxx-" w:val="zxx-"/>
    </w:rPr>
  </w:style>
  <w:style w:styleId="style21" w:type="character">
    <w:name w:val="Grade Colorida - Ênfase 1 Char"/>
    <w:next w:val="style21"/>
    <w:rPr>
      <w:rFonts w:ascii="Ecofont_Spranq_eco_Sans" w:cs="Tahoma" w:eastAsia="Calibri" w:hAnsi="Ecofont_Spranq_eco_Sans"/>
      <w:i/>
      <w:iCs/>
      <w:color w:val="000000"/>
      <w:szCs w:val="24"/>
      <w:shd w:fill="FFFFCC" w:val="clear"/>
      <w:lang w:eastAsia="en-US"/>
    </w:rPr>
  </w:style>
  <w:style w:styleId="style22" w:type="character">
    <w:name w:val="citação 2 Char"/>
    <w:basedOn w:val="style21"/>
    <w:next w:val="style22"/>
    <w:rPr>
      <w:rFonts w:ascii="Ecofont_Spranq_eco_Sans" w:cs="Tahoma" w:eastAsia="Calibri" w:hAnsi="Ecofont_Spranq_eco_Sans"/>
      <w:i/>
      <w:iCs/>
      <w:color w:val="000000"/>
      <w:szCs w:val="24"/>
      <w:shd w:fill="FFFFCC" w:val="clear"/>
      <w:lang w:eastAsia="en-US"/>
    </w:rPr>
  </w:style>
  <w:style w:styleId="style23" w:type="character">
    <w:name w:val="Quote Char"/>
    <w:basedOn w:val="style15"/>
    <w:next w:val="style23"/>
    <w:rPr>
      <w:rFonts w:ascii="Ecofont_Spranq_eco_Sans" w:eastAsia="Calibri" w:hAnsi="Ecofont_Spranq_eco_Sans"/>
      <w:i/>
      <w:iCs/>
      <w:color w:val="000000"/>
      <w:szCs w:val="24"/>
      <w:shd w:fill="FFFFCC" w:val="clear"/>
      <w:lang w:eastAsia="en-US" w:val="pt-BR"/>
    </w:rPr>
  </w:style>
  <w:style w:styleId="style24" w:type="character">
    <w:name w:val="Header Char"/>
    <w:basedOn w:val="style15"/>
    <w:next w:val="style24"/>
    <w:rPr>
      <w:rFonts w:ascii="Ecofont_Spranq_eco_Sans" w:cs="Tahoma" w:hAnsi="Ecofont_Spranq_eco_Sans"/>
      <w:sz w:val="24"/>
      <w:szCs w:val="24"/>
    </w:rPr>
  </w:style>
  <w:style w:styleId="style25" w:type="character">
    <w:name w:val="Footer Char"/>
    <w:basedOn w:val="style15"/>
    <w:next w:val="style25"/>
    <w:rPr>
      <w:rFonts w:ascii="Ecofont_Spranq_eco_Sans" w:cs="Tahoma" w:hAnsi="Ecofont_Spranq_eco_Sans"/>
      <w:sz w:val="24"/>
      <w:szCs w:val="24"/>
    </w:rPr>
  </w:style>
  <w:style w:styleId="style26" w:type="character">
    <w:name w:val="Heading 1 Char"/>
    <w:basedOn w:val="style15"/>
    <w:next w:val="style26"/>
    <w:rPr>
      <w:rFonts w:ascii="Cambria" w:cs="" w:hAnsi="Cambria"/>
      <w:color w:val="365F91"/>
      <w:sz w:val="32"/>
      <w:szCs w:val="32"/>
    </w:rPr>
  </w:style>
  <w:style w:styleId="style27" w:type="character">
    <w:name w:val="annotation reference"/>
    <w:basedOn w:val="style15"/>
    <w:next w:val="style27"/>
    <w:rPr>
      <w:sz w:val="18"/>
      <w:szCs w:val="18"/>
    </w:rPr>
  </w:style>
  <w:style w:styleId="style28" w:type="character">
    <w:name w:val="Comment Text Char"/>
    <w:basedOn w:val="style15"/>
    <w:next w:val="style28"/>
    <w:rPr>
      <w:rFonts w:ascii="Arial" w:cs="Tahoma" w:hAnsi="Arial"/>
      <w:sz w:val="24"/>
      <w:szCs w:val="24"/>
    </w:rPr>
  </w:style>
  <w:style w:styleId="style29" w:type="character">
    <w:name w:val="ListLabel 1"/>
    <w:next w:val="style29"/>
    <w:rPr>
      <w:b/>
    </w:rPr>
  </w:style>
  <w:style w:styleId="style30" w:type="character">
    <w:name w:val="ListLabel 2"/>
    <w:next w:val="style30"/>
    <w:rPr>
      <w:b w:val="false"/>
      <w:i w:val="false"/>
      <w:color w:val="00000A"/>
    </w:rPr>
  </w:style>
  <w:style w:styleId="style31" w:type="character">
    <w:name w:val="ListLabel 3"/>
    <w:next w:val="style31"/>
    <w:rPr>
      <w:rFonts w:eastAsia="Arial Unicode MS"/>
    </w:rPr>
  </w:style>
  <w:style w:styleId="style32" w:type="character">
    <w:name w:val="ListLabel 4"/>
    <w:next w:val="style32"/>
    <w:rPr>
      <w:rFonts w:cs="Arial"/>
      <w:i/>
      <w:color w:val="FF0000"/>
    </w:rPr>
  </w:style>
  <w:style w:styleId="style33" w:type="character">
    <w:name w:val="ListLabel 5"/>
    <w:next w:val="style33"/>
    <w:rPr>
      <w:color w:val="0000FF"/>
    </w:rPr>
  </w:style>
  <w:style w:styleId="style34" w:type="character">
    <w:name w:val="ListLabel 6"/>
    <w:next w:val="style34"/>
    <w:rPr>
      <w:b w:val="false"/>
    </w:rPr>
  </w:style>
  <w:style w:styleId="style35" w:type="character">
    <w:name w:val="ListLabel 7"/>
    <w:next w:val="style35"/>
    <w:rPr>
      <w:b/>
      <w:i w:val="false"/>
    </w:rPr>
  </w:style>
  <w:style w:styleId="style36" w:type="character">
    <w:name w:val="ListLabel 8"/>
    <w:next w:val="style36"/>
    <w:rPr>
      <w:b/>
      <w:i w:val="false"/>
      <w:color w:val="00000A"/>
    </w:rPr>
  </w:style>
  <w:style w:styleId="style37" w:type="character">
    <w:name w:val="ListLabel 9"/>
    <w:next w:val="style37"/>
    <w:rPr>
      <w:b w:val="false"/>
      <w:i w:val="false"/>
    </w:rPr>
  </w:style>
  <w:style w:styleId="style38" w:type="character">
    <w:name w:val="ListLabel 10"/>
    <w:next w:val="style38"/>
    <w:rPr>
      <w:rFonts w:cs="Courier New"/>
    </w:rPr>
  </w:style>
  <w:style w:styleId="style39" w:type="character">
    <w:name w:val="ListLabel 11"/>
    <w:next w:val="style39"/>
    <w:rPr>
      <w:b/>
    </w:rPr>
  </w:style>
  <w:style w:styleId="style40" w:type="character">
    <w:name w:val="ListLabel 12"/>
    <w:next w:val="style40"/>
    <w:rPr>
      <w:b w:val="false"/>
      <w:i w:val="false"/>
      <w:color w:val="00000A"/>
    </w:rPr>
  </w:style>
  <w:style w:styleId="style41" w:type="character">
    <w:name w:val="ListLabel 13"/>
    <w:next w:val="style41"/>
    <w:rPr>
      <w:rFonts w:cs="Symbol"/>
    </w:rPr>
  </w:style>
  <w:style w:styleId="style42" w:type="character">
    <w:name w:val="ListLabel 14"/>
    <w:next w:val="style42"/>
    <w:rPr>
      <w:b/>
    </w:rPr>
  </w:style>
  <w:style w:styleId="style43" w:type="character">
    <w:name w:val="ListLabel 15"/>
    <w:next w:val="style43"/>
    <w:rPr>
      <w:b w:val="false"/>
      <w:i w:val="false"/>
      <w:color w:val="00000A"/>
    </w:rPr>
  </w:style>
  <w:style w:styleId="style44" w:type="character">
    <w:name w:val="ListLabel 16"/>
    <w:next w:val="style44"/>
    <w:rPr>
      <w:b/>
    </w:rPr>
  </w:style>
  <w:style w:styleId="style45" w:type="character">
    <w:name w:val="ListLabel 17"/>
    <w:next w:val="style45"/>
    <w:rPr>
      <w:b w:val="false"/>
      <w:i w:val="false"/>
      <w:color w:val="00000A"/>
    </w:rPr>
  </w:style>
  <w:style w:styleId="style46" w:type="character">
    <w:name w:val="ListLabel 18"/>
    <w:next w:val="style46"/>
    <w:rPr>
      <w:b/>
    </w:rPr>
  </w:style>
  <w:style w:styleId="style47" w:type="character">
    <w:name w:val="ListLabel 19"/>
    <w:next w:val="style47"/>
    <w:rPr>
      <w:b w:val="false"/>
      <w:i w:val="false"/>
      <w:color w:val="00000A"/>
    </w:rPr>
  </w:style>
  <w:style w:styleId="style48" w:type="paragraph">
    <w:name w:val="Título"/>
    <w:basedOn w:val="style0"/>
    <w:next w:val="style49"/>
    <w:pPr>
      <w:keepNext/>
      <w:spacing w:after="120" w:before="240"/>
      <w:contextualSpacing w:val="false"/>
    </w:pPr>
    <w:rPr>
      <w:rFonts w:ascii="Arial" w:cs="Mangal" w:eastAsia="Microsoft YaHei" w:hAnsi="Arial"/>
      <w:sz w:val="28"/>
      <w:szCs w:val="28"/>
    </w:rPr>
  </w:style>
  <w:style w:styleId="style49" w:type="paragraph">
    <w:name w:val="Corpo do texto"/>
    <w:basedOn w:val="style0"/>
    <w:next w:val="style49"/>
    <w:pPr>
      <w:spacing w:after="120" w:before="0"/>
      <w:contextualSpacing w:val="false"/>
    </w:pPr>
    <w:rPr/>
  </w:style>
  <w:style w:styleId="style50" w:type="paragraph">
    <w:name w:val="Lista"/>
    <w:basedOn w:val="style49"/>
    <w:next w:val="style50"/>
    <w:pPr/>
    <w:rPr>
      <w:rFonts w:cs="Mangal"/>
    </w:rPr>
  </w:style>
  <w:style w:styleId="style51" w:type="paragraph">
    <w:name w:val="Legenda"/>
    <w:basedOn w:val="style0"/>
    <w:next w:val="style51"/>
    <w:pPr>
      <w:suppressLineNumbers/>
      <w:spacing w:after="120" w:before="120"/>
      <w:contextualSpacing w:val="false"/>
    </w:pPr>
    <w:rPr>
      <w:rFonts w:cs="Mangal"/>
      <w:i/>
      <w:iCs/>
      <w:sz w:val="24"/>
      <w:szCs w:val="24"/>
    </w:rPr>
  </w:style>
  <w:style w:styleId="style52" w:type="paragraph">
    <w:name w:val="Índice"/>
    <w:basedOn w:val="style0"/>
    <w:next w:val="style52"/>
    <w:pPr>
      <w:suppressLineNumbers/>
    </w:pPr>
    <w:rPr>
      <w:rFonts w:cs="Mangal"/>
    </w:rPr>
  </w:style>
  <w:style w:styleId="style53" w:type="paragraph">
    <w:name w:val="Lista Colorida - Ênfase 11"/>
    <w:basedOn w:val="style0"/>
    <w:next w:val="style53"/>
    <w:pPr>
      <w:spacing w:after="0" w:before="0"/>
      <w:ind w:hanging="0" w:left="720" w:right="0"/>
      <w:contextualSpacing/>
    </w:pPr>
    <w:rPr/>
  </w:style>
  <w:style w:styleId="style54" w:type="paragraph">
    <w:name w:val="Normal (Web)"/>
    <w:basedOn w:val="style0"/>
    <w:next w:val="style54"/>
    <w:pPr>
      <w:spacing w:after="28" w:before="28"/>
      <w:contextualSpacing w:val="false"/>
    </w:pPr>
    <w:rPr>
      <w:rFonts w:ascii="Times New Roman" w:cs="Times New Roman" w:hAnsi="Times New Roman"/>
    </w:rPr>
  </w:style>
  <w:style w:styleId="style55" w:type="paragraph">
    <w:name w:val="Balloon Text"/>
    <w:basedOn w:val="style0"/>
    <w:next w:val="style55"/>
    <w:pPr/>
    <w:rPr>
      <w:rFonts w:ascii="Tahoma" w:hAnsi="Tahoma"/>
      <w:sz w:val="16"/>
      <w:szCs w:val="16"/>
    </w:rPr>
  </w:style>
  <w:style w:styleId="style56" w:type="paragraph">
    <w:name w:val="Nível 2"/>
    <w:basedOn w:val="style0"/>
    <w:next w:val="style56"/>
    <w:pPr>
      <w:spacing w:after="120" w:before="0"/>
      <w:contextualSpacing w:val="false"/>
      <w:jc w:val="both"/>
    </w:pPr>
    <w:rPr>
      <w:rFonts w:cs="Times New Roman"/>
      <w:b/>
      <w:szCs w:val="20"/>
    </w:rPr>
  </w:style>
  <w:style w:styleId="style57" w:type="paragraph">
    <w:name w:val="Grade Colorida - Ênfase 11"/>
    <w:basedOn w:val="style0"/>
    <w:next w:val="style57"/>
    <w:pPr>
      <w:pBdr>
        <w:top w:color="1F497D" w:space="0" w:sz="4" w:val="single"/>
        <w:left w:color="1F497D" w:space="0" w:sz="4" w:val="single"/>
        <w:bottom w:color="1F497D" w:space="0" w:sz="4" w:val="single"/>
        <w:insideH w:color="1F497D" w:space="0" w:sz="4" w:val="single"/>
        <w:right w:color="1F497D" w:space="0" w:sz="4" w:val="single"/>
        <w:insideV w:color="1F497D" w:space="0" w:sz="4" w:val="single"/>
      </w:pBdr>
      <w:shd w:fill="FFFFCC" w:val="clear"/>
      <w:spacing w:after="0" w:before="120"/>
      <w:contextualSpacing w:val="false"/>
      <w:jc w:val="both"/>
    </w:pPr>
    <w:rPr>
      <w:rFonts w:eastAsia="Calibri"/>
      <w:i/>
      <w:iCs/>
      <w:color w:val="000000"/>
      <w:sz w:val="20"/>
      <w:lang w:eastAsia="en-US"/>
    </w:rPr>
  </w:style>
  <w:style w:styleId="style58" w:type="paragraph">
    <w:name w:val="List Bullet 5"/>
    <w:basedOn w:val="style0"/>
    <w:next w:val="style58"/>
    <w:pPr>
      <w:spacing w:after="0" w:before="0"/>
      <w:contextualSpacing/>
    </w:pPr>
    <w:rPr/>
  </w:style>
  <w:style w:styleId="style59" w:type="paragraph">
    <w:name w:val="citação 2"/>
    <w:basedOn w:val="style57"/>
    <w:next w:val="style59"/>
    <w:pPr/>
    <w:rPr>
      <w:szCs w:val="20"/>
    </w:rPr>
  </w:style>
  <w:style w:styleId="style60" w:type="paragraph">
    <w:name w:val="Quote"/>
    <w:basedOn w:val="style0"/>
    <w:next w:val="style60"/>
    <w:pPr>
      <w:pBdr>
        <w:top w:color="1F497D" w:space="0" w:sz="4" w:val="single"/>
        <w:left w:color="1F497D" w:space="0" w:sz="4" w:val="single"/>
        <w:bottom w:color="1F497D" w:space="0" w:sz="4" w:val="single"/>
        <w:insideH w:color="1F497D" w:space="0" w:sz="4" w:val="single"/>
        <w:right w:color="1F497D" w:space="0" w:sz="4" w:val="single"/>
        <w:insideV w:color="1F497D" w:space="0" w:sz="4" w:val="single"/>
      </w:pBdr>
      <w:shd w:fill="FFFFCC" w:val="clear"/>
      <w:spacing w:after="0" w:before="120"/>
      <w:contextualSpacing w:val="false"/>
      <w:jc w:val="both"/>
    </w:pPr>
    <w:rPr>
      <w:rFonts w:cs="Times New Roman" w:eastAsia="Calibri"/>
      <w:i/>
      <w:iCs/>
      <w:color w:val="000000"/>
      <w:sz w:val="20"/>
      <w:lang w:eastAsia="en-US" w:val="pt-BR"/>
    </w:rPr>
  </w:style>
  <w:style w:styleId="style61" w:type="paragraph">
    <w:name w:val="Cabeçalho"/>
    <w:basedOn w:val="style0"/>
    <w:next w:val="style61"/>
    <w:pPr>
      <w:tabs>
        <w:tab w:leader="none" w:pos="4252" w:val="center"/>
        <w:tab w:leader="none" w:pos="8504" w:val="right"/>
      </w:tabs>
    </w:pPr>
    <w:rPr/>
  </w:style>
  <w:style w:styleId="style62" w:type="paragraph">
    <w:name w:val="Rodapé"/>
    <w:basedOn w:val="style0"/>
    <w:next w:val="style62"/>
    <w:pPr>
      <w:tabs>
        <w:tab w:leader="none" w:pos="4252" w:val="center"/>
        <w:tab w:leader="none" w:pos="8504" w:val="right"/>
      </w:tabs>
    </w:pPr>
    <w:rPr/>
  </w:style>
  <w:style w:styleId="style63" w:type="paragraph">
    <w:name w:val="List Paragraph"/>
    <w:basedOn w:val="style0"/>
    <w:next w:val="style63"/>
    <w:pPr>
      <w:spacing w:after="0" w:before="0"/>
      <w:ind w:hanging="0" w:left="720" w:right="0"/>
      <w:contextualSpacing/>
    </w:pPr>
    <w:rPr/>
  </w:style>
  <w:style w:styleId="style64" w:type="paragraph">
    <w:name w:val="Nivel1"/>
    <w:basedOn w:val="style1"/>
    <w:next w:val="style64"/>
    <w:pPr>
      <w:spacing w:after="120" w:before="480" w:line="276" w:lineRule="auto"/>
      <w:ind w:hanging="357" w:left="357" w:right="0"/>
      <w:contextualSpacing w:val="false"/>
      <w:jc w:val="both"/>
    </w:pPr>
    <w:rPr>
      <w:rFonts w:ascii="Arial" w:cs="Arial" w:hAnsi="Arial"/>
      <w:b/>
      <w:color w:val="000000"/>
      <w:sz w:val="20"/>
      <w:szCs w:val="20"/>
    </w:rPr>
  </w:style>
  <w:style w:styleId="style65" w:type="paragraph">
    <w:name w:val="annotation text"/>
    <w:basedOn w:val="style0"/>
    <w:next w:val="style65"/>
    <w:pPr/>
    <w:rPr/>
  </w:style>
  <w:style w:styleId="style66" w:type="paragraph">
    <w:name w:val="Conteúdo do quadro"/>
    <w:basedOn w:val="style0"/>
    <w:next w:val="style66"/>
    <w:pPr/>
    <w:rPr/>
  </w:style>
  <w:style w:styleId="style67" w:type="paragraph">
    <w:name w:val="Conteúdo da tabela"/>
    <w:basedOn w:val="style0"/>
    <w:next w:val="style67"/>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pn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D:\adriano.carrijo\Documents\adriano\GT ONs\Modelos fechados\TR compras.dotx</Template>
  <TotalTime>122</TotalTime>
  <Application>LibreOffice/4.1.0.4$Windows_x86 LibreOffice_project/89ea49ddacd9aa532507cbf852f2bb22b1ace28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2013-05-01T13:10:00Z</dcterms:created>
  <dc:creator>Adriano</dc:creator>
  <cp:lastModifiedBy>Manoel Paz e Silva Filho</cp:lastModifiedBy>
  <cp:lastPrinted>2016-12-06T15:55:58Z</cp:lastPrinted>
  <dcterms:modified xsi:type="dcterms:W3CDTF">2016-06-10T16:46:00Z</dcterms:modified>
  <cp:revision>8</cp:revision>
  <dc:title>NOTAS EXPLICATIVAS</dc:title>
</cp:coreProperties>
</file>