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pPr>
      <w:r>
        <w:rPr/>
        <w:drawing>
          <wp:inline distB="0" distL="0" distR="0" distT="0">
            <wp:extent cx="670560" cy="61722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70560" cy="617220"/>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jc w:val="center"/>
        <w:rPr/>
      </w:pPr>
      <w:r>
        <w:rPr/>
      </w:r>
    </w:p>
    <w:p>
      <w:pPr>
        <w:pStyle w:val="style0"/>
        <w:jc w:val="center"/>
        <w:rPr>
          <w:rFonts w:cs="Arial"/>
          <w:b/>
          <w:bCs/>
          <w:color w:val="000000"/>
          <w:sz w:val="20"/>
          <w:szCs w:val="20"/>
        </w:rPr>
      </w:pPr>
      <w:r>
        <w:rPr>
          <w:rFonts w:cs="Arial"/>
          <w:b/>
          <w:bCs/>
          <w:color w:val="000000"/>
          <w:sz w:val="20"/>
          <w:szCs w:val="20"/>
        </w:rPr>
        <w:t>TERMO DE REFERÊNCIA</w:t>
      </w:r>
    </w:p>
    <w:p>
      <w:pPr>
        <w:pStyle w:val="style0"/>
        <w:jc w:val="center"/>
        <w:rPr>
          <w:rFonts w:cs="Arial"/>
          <w:b/>
          <w:bCs/>
          <w:sz w:val="20"/>
          <w:szCs w:val="20"/>
        </w:rPr>
      </w:pPr>
      <w:r>
        <w:rPr>
          <w:rFonts w:cs="Arial"/>
          <w:b/>
          <w:bCs/>
          <w:sz w:val="20"/>
          <w:szCs w:val="20"/>
        </w:rPr>
        <w:t>Sistema de Registro de Preços</w:t>
      </w:r>
    </w:p>
    <w:p>
      <w:pPr>
        <w:pStyle w:val="style0"/>
        <w:jc w:val="center"/>
        <w:rPr>
          <w:rFonts w:cs="Arial"/>
          <w:bCs/>
          <w:color w:val="000000"/>
          <w:sz w:val="20"/>
          <w:szCs w:val="20"/>
        </w:rPr>
      </w:pPr>
      <w:r>
        <w:rPr>
          <w:rFonts w:cs="Arial"/>
          <w:bCs/>
          <w:color w:val="000000"/>
          <w:sz w:val="20"/>
          <w:szCs w:val="20"/>
        </w:rPr>
        <w:t>(Processo Administrativo n.° 23197.035743.2016-11)</w:t>
      </w:r>
    </w:p>
    <w:p>
      <w:pPr>
        <w:pStyle w:val="style0"/>
        <w:spacing w:after="120" w:before="0" w:line="276" w:lineRule="auto"/>
        <w:ind w:hanging="0" w:left="0" w:right="-15"/>
        <w:contextualSpacing w:val="false"/>
        <w:jc w:val="center"/>
        <w:rPr>
          <w:rFonts w:cs="Arial"/>
          <w:b/>
          <w:bCs/>
          <w:color w:val="000000"/>
          <w:sz w:val="20"/>
          <w:szCs w:val="20"/>
        </w:rPr>
      </w:pPr>
      <w:r>
        <w:rPr>
          <w:rFonts w:cs="Arial"/>
          <w:b/>
          <w:bCs/>
          <w:color w:val="000000"/>
          <w:sz w:val="20"/>
          <w:szCs w:val="20"/>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DO OBJETO</w:t>
      </w:r>
    </w:p>
    <w:p>
      <w:pPr>
        <w:pStyle w:val="style0"/>
        <w:numPr>
          <w:ilvl w:val="1"/>
          <w:numId w:val="1"/>
        </w:numPr>
        <w:spacing w:after="120" w:before="120" w:line="276" w:lineRule="auto"/>
        <w:contextualSpacing w:val="false"/>
        <w:jc w:val="both"/>
        <w:rPr>
          <w:rFonts w:ascii="Calibri" w:cs="Arial" w:hAnsi="Calibri"/>
          <w:i w:val="false"/>
          <w:iCs w:val="false"/>
          <w:color w:val="000000"/>
          <w:sz w:val="22"/>
          <w:szCs w:val="22"/>
        </w:rPr>
      </w:pPr>
      <w:r>
        <w:rPr>
          <w:rFonts w:ascii="Calibri" w:cs="Arial" w:hAnsi="Calibri"/>
          <w:i w:val="false"/>
          <w:iCs w:val="false"/>
          <w:color w:val="000000"/>
          <w:sz w:val="22"/>
          <w:szCs w:val="22"/>
        </w:rPr>
        <w:t xml:space="preserve">Aquisição de </w:t>
      </w:r>
      <w:bookmarkStart w:id="0" w:name="__DdeLink__1719_1060370539"/>
      <w:r>
        <w:rPr>
          <w:rFonts w:ascii="Calibri" w:cs="Arial" w:hAnsi="Calibri"/>
          <w:b/>
          <w:bCs/>
          <w:i w:val="false"/>
          <w:iCs w:val="false"/>
          <w:color w:val="000000"/>
          <w:sz w:val="22"/>
          <w:szCs w:val="22"/>
        </w:rPr>
        <w:t>AQUISIÇÃO DE LÂMPADAS PARA PROJETOR MULTIMÍDIA</w:t>
      </w:r>
      <w:bookmarkEnd w:id="0"/>
      <w:r>
        <w:rPr>
          <w:rFonts w:ascii="Calibri" w:cs="Arial" w:hAnsi="Calibri"/>
          <w:b/>
          <w:i w:val="false"/>
          <w:iCs w:val="false"/>
          <w:color w:val="000000"/>
          <w:sz w:val="22"/>
          <w:szCs w:val="22"/>
        </w:rPr>
        <w:t>,</w:t>
      </w:r>
      <w:r>
        <w:rPr>
          <w:rFonts w:ascii="Calibri" w:cs="Arial" w:hAnsi="Calibri"/>
          <w:i w:val="false"/>
          <w:iCs w:val="false"/>
          <w:color w:val="000000"/>
          <w:sz w:val="22"/>
          <w:szCs w:val="22"/>
        </w:rPr>
        <w:t xml:space="preserve"> conforme condições, quantidades, exigências e estimativas, inclusive as encaminhadas pelos órgãos e entidades participantes, estabelecidas neste instrumento:</w:t>
      </w:r>
    </w:p>
    <w:p>
      <w:pPr>
        <w:pStyle w:val="style0"/>
        <w:spacing w:after="120" w:before="120" w:line="276" w:lineRule="auto"/>
        <w:contextualSpacing w:val="false"/>
        <w:jc w:val="both"/>
        <w:rPr/>
      </w:pPr>
      <w:r>
        <w:rPr/>
      </w:r>
    </w:p>
    <w:tbl>
      <w:tblPr>
        <w:jc w:val="left"/>
        <w:tblInd w:type="dxa" w:w="36"/>
        <w:tblBorders>
          <w:top w:color="000001" w:space="0" w:sz="2" w:val="single"/>
          <w:left w:color="000001" w:space="0" w:sz="2" w:val="single"/>
          <w:bottom w:color="000001" w:space="0" w:sz="2" w:val="single"/>
          <w:insideH w:color="000001" w:space="0" w:sz="2" w:val="single"/>
          <w:right w:val="nil"/>
          <w:insideV w:val="nil"/>
        </w:tblBorders>
        <w:tblCellMar>
          <w:top w:type="dxa" w:w="55"/>
          <w:left w:type="dxa" w:w="30"/>
          <w:bottom w:type="dxa" w:w="55"/>
          <w:right w:type="dxa" w:w="55"/>
        </w:tblCellMar>
      </w:tblPr>
      <w:tblGrid>
        <w:gridCol w:w="844"/>
        <w:gridCol w:w="728"/>
        <w:gridCol w:w="657"/>
        <w:gridCol w:w="738"/>
        <w:gridCol w:w="844"/>
        <w:gridCol w:w="2870"/>
        <w:gridCol w:w="1158"/>
        <w:gridCol w:w="1102"/>
      </w:tblGrid>
      <w:tr>
        <w:trPr>
          <w:trHeight w:hRule="atLeast" w:val="420"/>
          <w:cantSplit w:val="false"/>
        </w:trPr>
        <w:tc>
          <w:tcPr>
            <w:tcW w:type="dxa" w:w="844"/>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7"/>
              <w:jc w:val="center"/>
              <w:rPr>
                <w:rFonts w:ascii="Calibri" w:hAnsi="Calibri"/>
                <w:b/>
                <w:bCs/>
                <w:sz w:val="20"/>
                <w:szCs w:val="20"/>
              </w:rPr>
            </w:pPr>
            <w:r>
              <w:rPr>
                <w:rFonts w:ascii="Calibri" w:hAnsi="Calibri"/>
                <w:b/>
                <w:bCs/>
                <w:sz w:val="20"/>
                <w:szCs w:val="20"/>
              </w:rPr>
              <w:t>Item</w:t>
            </w:r>
          </w:p>
        </w:tc>
        <w:tc>
          <w:tcPr>
            <w:tcW w:type="dxa" w:w="728"/>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7"/>
              <w:jc w:val="center"/>
              <w:rPr>
                <w:rFonts w:ascii="Calibri" w:hAnsi="Calibri"/>
                <w:b/>
                <w:bCs/>
                <w:sz w:val="20"/>
                <w:szCs w:val="20"/>
              </w:rPr>
            </w:pPr>
            <w:r>
              <w:rPr>
                <w:rFonts w:ascii="Calibri" w:hAnsi="Calibri"/>
                <w:b/>
                <w:bCs/>
                <w:sz w:val="20"/>
                <w:szCs w:val="20"/>
              </w:rPr>
              <w:t>CATMAT</w:t>
            </w:r>
          </w:p>
        </w:tc>
        <w:tc>
          <w:tcPr>
            <w:tcW w:type="dxa" w:w="657"/>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7"/>
              <w:jc w:val="center"/>
              <w:rPr>
                <w:rFonts w:ascii="Calibri" w:hAnsi="Calibri"/>
                <w:b/>
                <w:bCs/>
                <w:sz w:val="20"/>
                <w:szCs w:val="20"/>
              </w:rPr>
            </w:pPr>
            <w:r>
              <w:rPr>
                <w:rFonts w:ascii="Calibri" w:hAnsi="Calibri"/>
                <w:b/>
                <w:bCs/>
                <w:sz w:val="20"/>
                <w:szCs w:val="20"/>
              </w:rPr>
              <w:t>Unid.</w:t>
            </w:r>
          </w:p>
        </w:tc>
        <w:tc>
          <w:tcPr>
            <w:tcW w:type="dxa" w:w="738"/>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7"/>
              <w:jc w:val="center"/>
              <w:rPr>
                <w:rFonts w:ascii="Calibri" w:hAnsi="Calibri"/>
                <w:b/>
                <w:bCs/>
                <w:sz w:val="20"/>
                <w:szCs w:val="20"/>
              </w:rPr>
            </w:pPr>
            <w:r>
              <w:rPr>
                <w:rFonts w:ascii="Calibri" w:hAnsi="Calibri"/>
                <w:b/>
                <w:bCs/>
                <w:sz w:val="20"/>
                <w:szCs w:val="20"/>
              </w:rPr>
              <w:t>Quant.</w:t>
            </w:r>
          </w:p>
        </w:tc>
        <w:tc>
          <w:tcPr>
            <w:tcW w:type="dxa" w:w="844"/>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7"/>
              <w:jc w:val="center"/>
              <w:rPr>
                <w:rFonts w:ascii="Calibri" w:hAnsi="Calibri"/>
                <w:b/>
                <w:bCs/>
                <w:sz w:val="20"/>
                <w:szCs w:val="20"/>
              </w:rPr>
            </w:pPr>
            <w:r>
              <w:rPr>
                <w:rFonts w:ascii="Calibri" w:hAnsi="Calibri"/>
                <w:b/>
                <w:bCs/>
                <w:sz w:val="20"/>
                <w:szCs w:val="20"/>
              </w:rPr>
              <w:t>Quant. mínima</w:t>
            </w:r>
          </w:p>
        </w:tc>
        <w:tc>
          <w:tcPr>
            <w:tcW w:type="dxa" w:w="2870"/>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7"/>
              <w:jc w:val="center"/>
              <w:rPr>
                <w:rFonts w:ascii="Calibri" w:hAnsi="Calibri"/>
                <w:b/>
                <w:bCs/>
                <w:sz w:val="20"/>
                <w:szCs w:val="20"/>
              </w:rPr>
            </w:pPr>
            <w:r>
              <w:rPr>
                <w:rFonts w:ascii="Calibri" w:hAnsi="Calibri"/>
                <w:b/>
                <w:bCs/>
                <w:sz w:val="20"/>
                <w:szCs w:val="20"/>
              </w:rPr>
              <w:t>Especificação Detalhada</w:t>
            </w:r>
          </w:p>
        </w:tc>
        <w:tc>
          <w:tcPr>
            <w:tcW w:type="dxa" w:w="1158"/>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7"/>
              <w:jc w:val="center"/>
              <w:rPr>
                <w:rFonts w:ascii="Calibri" w:hAnsi="Calibri"/>
                <w:b/>
                <w:bCs/>
                <w:sz w:val="20"/>
                <w:szCs w:val="20"/>
              </w:rPr>
            </w:pPr>
            <w:r>
              <w:rPr>
                <w:rFonts w:ascii="Calibri" w:hAnsi="Calibri"/>
                <w:b/>
                <w:bCs/>
                <w:sz w:val="20"/>
                <w:szCs w:val="20"/>
              </w:rPr>
              <w:t>V. Unit.</w:t>
            </w:r>
          </w:p>
        </w:tc>
        <w:tc>
          <w:tcPr>
            <w:tcW w:type="dxa" w:w="1102"/>
            <w:tcBorders>
              <w:top w:color="000001" w:space="0" w:sz="2" w:val="single"/>
              <w:left w:color="000001" w:space="0" w:sz="2" w:val="single"/>
              <w:bottom w:color="000001" w:space="0" w:sz="2" w:val="single"/>
              <w:right w:color="000001" w:space="0" w:sz="2" w:val="single"/>
            </w:tcBorders>
            <w:shd w:fill="CCCCCC" w:val="clear"/>
            <w:tcMar>
              <w:left w:type="dxa" w:w="30"/>
            </w:tcMar>
            <w:vAlign w:val="center"/>
          </w:tcPr>
          <w:p>
            <w:pPr>
              <w:pStyle w:val="style77"/>
              <w:jc w:val="center"/>
              <w:rPr>
                <w:rFonts w:ascii="Calibri" w:hAnsi="Calibri"/>
                <w:b/>
                <w:bCs/>
                <w:sz w:val="20"/>
                <w:szCs w:val="20"/>
              </w:rPr>
            </w:pPr>
            <w:r>
              <w:rPr>
                <w:rFonts w:ascii="Calibri" w:hAnsi="Calibri"/>
                <w:b/>
                <w:bCs/>
                <w:sz w:val="20"/>
                <w:szCs w:val="20"/>
              </w:rPr>
              <w:t>V. Total</w:t>
            </w:r>
          </w:p>
        </w:tc>
      </w:tr>
      <w:tr>
        <w:trPr>
          <w:cantSplit w:val="false"/>
        </w:trPr>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1</w:t>
            </w:r>
          </w:p>
        </w:tc>
        <w:tc>
          <w:tcPr>
            <w:tcW w:type="dxa" w:w="72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96717</w:t>
            </w:r>
          </w:p>
        </w:tc>
        <w:tc>
          <w:tcPr>
            <w:tcW w:type="dxa" w:w="657"/>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Unid.</w:t>
            </w:r>
          </w:p>
        </w:tc>
        <w:tc>
          <w:tcPr>
            <w:tcW w:type="dxa" w:w="73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40</w:t>
            </w:r>
          </w:p>
        </w:tc>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w:t>
            </w:r>
          </w:p>
        </w:tc>
        <w:tc>
          <w:tcPr>
            <w:tcW w:type="dxa" w:w="2870"/>
            <w:tcBorders>
              <w:top w:val="nil"/>
              <w:left w:color="000001" w:space="0" w:sz="2" w:val="single"/>
              <w:bottom w:color="000001" w:space="0" w:sz="2" w:val="single"/>
              <w:right w:val="nil"/>
            </w:tcBorders>
            <w:shd w:fill="FFFFFF" w:val="clear"/>
            <w:tcMar>
              <w:left w:type="dxa" w:w="29"/>
            </w:tcMar>
            <w:vAlign w:val="center"/>
          </w:tcPr>
          <w:p>
            <w:pPr>
              <w:pStyle w:val="style0"/>
              <w:jc w:val="left"/>
              <w:rPr>
                <w:rFonts w:ascii="Calibri" w:hAnsi="Calibri"/>
                <w:sz w:val="20"/>
                <w:szCs w:val="20"/>
              </w:rPr>
            </w:pPr>
            <w:r>
              <w:rPr>
                <w:rFonts w:ascii="Calibri" w:hAnsi="Calibri"/>
                <w:sz w:val="20"/>
                <w:szCs w:val="20"/>
              </w:rPr>
              <w:t>Lâmpada V13H010L60 para projetor Epson, modelo PowerLite 93+ XGA 3LCD (H382F) 2600 Lumens, vida útil aproximadamente 3000 horas, completa com suporte plástico.</w:t>
            </w:r>
          </w:p>
        </w:tc>
        <w:tc>
          <w:tcPr>
            <w:tcW w:type="dxa" w:w="115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788,56</w:t>
            </w:r>
          </w:p>
        </w:tc>
        <w:tc>
          <w:tcPr>
            <w:tcW w:type="dxa" w:w="1102"/>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31.542,40</w:t>
            </w:r>
          </w:p>
        </w:tc>
      </w:tr>
      <w:tr>
        <w:trPr>
          <w:cantSplit w:val="false"/>
        </w:trPr>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w:t>
            </w:r>
          </w:p>
        </w:tc>
        <w:tc>
          <w:tcPr>
            <w:tcW w:type="dxa" w:w="72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96717</w:t>
            </w:r>
          </w:p>
        </w:tc>
        <w:tc>
          <w:tcPr>
            <w:tcW w:type="dxa" w:w="657"/>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Unid.</w:t>
            </w:r>
          </w:p>
        </w:tc>
        <w:tc>
          <w:tcPr>
            <w:tcW w:type="dxa" w:w="73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50</w:t>
            </w:r>
          </w:p>
        </w:tc>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w:t>
            </w:r>
          </w:p>
        </w:tc>
        <w:tc>
          <w:tcPr>
            <w:tcW w:type="dxa" w:w="2870"/>
            <w:tcBorders>
              <w:top w:val="nil"/>
              <w:left w:color="000001" w:space="0" w:sz="2" w:val="single"/>
              <w:bottom w:color="000001" w:space="0" w:sz="2" w:val="single"/>
              <w:right w:val="nil"/>
            </w:tcBorders>
            <w:shd w:fill="FFFFFF" w:val="clear"/>
            <w:tcMar>
              <w:left w:type="dxa" w:w="29"/>
            </w:tcMar>
            <w:vAlign w:val="center"/>
          </w:tcPr>
          <w:p>
            <w:pPr>
              <w:pStyle w:val="style0"/>
              <w:jc w:val="left"/>
              <w:rPr>
                <w:rFonts w:ascii="Calibri" w:hAnsi="Calibri"/>
                <w:sz w:val="20"/>
                <w:szCs w:val="20"/>
              </w:rPr>
            </w:pPr>
            <w:r>
              <w:rPr>
                <w:rFonts w:ascii="Calibri" w:hAnsi="Calibri"/>
                <w:sz w:val="20"/>
                <w:szCs w:val="20"/>
              </w:rPr>
              <w:t>Lâmpada V13H010L42 para projetor Epson, modelo PowerLite S5 / S5+ / S6 / 77C 2000 Lumens, vida útil aproximadamente 3000 horas, completa com suporte plástico.</w:t>
            </w:r>
          </w:p>
        </w:tc>
        <w:tc>
          <w:tcPr>
            <w:tcW w:type="dxa" w:w="115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573,72</w:t>
            </w:r>
          </w:p>
        </w:tc>
        <w:tc>
          <w:tcPr>
            <w:tcW w:type="dxa" w:w="1102"/>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28.686,00</w:t>
            </w:r>
          </w:p>
        </w:tc>
      </w:tr>
      <w:tr>
        <w:trPr>
          <w:cantSplit w:val="false"/>
        </w:trPr>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3</w:t>
            </w:r>
          </w:p>
        </w:tc>
        <w:tc>
          <w:tcPr>
            <w:tcW w:type="dxa" w:w="72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96717</w:t>
            </w:r>
          </w:p>
        </w:tc>
        <w:tc>
          <w:tcPr>
            <w:tcW w:type="dxa" w:w="657"/>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Unid.</w:t>
            </w:r>
          </w:p>
        </w:tc>
        <w:tc>
          <w:tcPr>
            <w:tcW w:type="dxa" w:w="73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45</w:t>
            </w:r>
          </w:p>
        </w:tc>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w:t>
            </w:r>
          </w:p>
        </w:tc>
        <w:tc>
          <w:tcPr>
            <w:tcW w:type="dxa" w:w="2870"/>
            <w:tcBorders>
              <w:top w:val="nil"/>
              <w:left w:color="000001" w:space="0" w:sz="2" w:val="single"/>
              <w:bottom w:color="000001" w:space="0" w:sz="2" w:val="single"/>
              <w:right w:val="nil"/>
            </w:tcBorders>
            <w:shd w:fill="FFFFFF" w:val="clear"/>
            <w:tcMar>
              <w:left w:type="dxa" w:w="29"/>
            </w:tcMar>
            <w:vAlign w:val="center"/>
          </w:tcPr>
          <w:p>
            <w:pPr>
              <w:pStyle w:val="style0"/>
              <w:jc w:val="left"/>
              <w:rPr>
                <w:rFonts w:ascii="Calibri" w:hAnsi="Calibri"/>
                <w:sz w:val="20"/>
                <w:szCs w:val="20"/>
              </w:rPr>
            </w:pPr>
            <w:r>
              <w:rPr>
                <w:rFonts w:ascii="Calibri" w:hAnsi="Calibri"/>
                <w:sz w:val="20"/>
                <w:szCs w:val="20"/>
              </w:rPr>
              <w:t>Lâmpada V13H010L58 para projetor Epson, modelo PowerLite S10+ / X10+ / W10+ 2600 Lumens, vida útil aproximadamente 5000 horas, completa com suporte plástico.</w:t>
            </w:r>
          </w:p>
        </w:tc>
        <w:tc>
          <w:tcPr>
            <w:tcW w:type="dxa" w:w="115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543,40</w:t>
            </w:r>
          </w:p>
        </w:tc>
        <w:tc>
          <w:tcPr>
            <w:tcW w:type="dxa" w:w="1102"/>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24.453,00</w:t>
            </w:r>
          </w:p>
        </w:tc>
      </w:tr>
      <w:tr>
        <w:trPr>
          <w:cantSplit w:val="false"/>
        </w:trPr>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4</w:t>
            </w:r>
          </w:p>
        </w:tc>
        <w:tc>
          <w:tcPr>
            <w:tcW w:type="dxa" w:w="72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r>
          </w:p>
        </w:tc>
        <w:tc>
          <w:tcPr>
            <w:tcW w:type="dxa" w:w="657"/>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Unid.</w:t>
            </w:r>
          </w:p>
        </w:tc>
        <w:tc>
          <w:tcPr>
            <w:tcW w:type="dxa" w:w="73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70</w:t>
            </w:r>
          </w:p>
        </w:tc>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w:t>
            </w:r>
          </w:p>
        </w:tc>
        <w:tc>
          <w:tcPr>
            <w:tcW w:type="dxa" w:w="2870"/>
            <w:tcBorders>
              <w:top w:val="nil"/>
              <w:left w:color="000001" w:space="0" w:sz="2" w:val="single"/>
              <w:bottom w:color="000001" w:space="0" w:sz="2" w:val="single"/>
              <w:right w:val="nil"/>
            </w:tcBorders>
            <w:shd w:fill="FFFFFF" w:val="clear"/>
            <w:tcMar>
              <w:left w:type="dxa" w:w="29"/>
            </w:tcMar>
            <w:vAlign w:val="center"/>
          </w:tcPr>
          <w:p>
            <w:pPr>
              <w:pStyle w:val="style0"/>
              <w:jc w:val="left"/>
              <w:rPr>
                <w:rFonts w:ascii="Calibri" w:hAnsi="Calibri"/>
                <w:sz w:val="20"/>
                <w:szCs w:val="20"/>
              </w:rPr>
            </w:pPr>
            <w:r>
              <w:rPr>
                <w:rFonts w:ascii="Calibri" w:hAnsi="Calibri"/>
                <w:sz w:val="20"/>
                <w:szCs w:val="20"/>
              </w:rPr>
              <w:t>Lâmpada V13H010L78 para os projetores EPSON PowerLite S18+ ANSI LUMENS HDMI e projetor Epson Power Lite X24+ 3500 Lumens.</w:t>
            </w:r>
          </w:p>
        </w:tc>
        <w:tc>
          <w:tcPr>
            <w:tcW w:type="dxa" w:w="115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652,29</w:t>
            </w:r>
          </w:p>
        </w:tc>
        <w:tc>
          <w:tcPr>
            <w:tcW w:type="dxa" w:w="1102"/>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45.660,30</w:t>
            </w:r>
          </w:p>
        </w:tc>
      </w:tr>
      <w:tr>
        <w:trPr>
          <w:cantSplit w:val="false"/>
        </w:trPr>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5</w:t>
            </w:r>
          </w:p>
        </w:tc>
        <w:tc>
          <w:tcPr>
            <w:tcW w:type="dxa" w:w="72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r>
          </w:p>
        </w:tc>
        <w:tc>
          <w:tcPr>
            <w:tcW w:type="dxa" w:w="657"/>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Unid.</w:t>
            </w:r>
          </w:p>
        </w:tc>
        <w:tc>
          <w:tcPr>
            <w:tcW w:type="dxa" w:w="73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19</w:t>
            </w:r>
          </w:p>
        </w:tc>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w:t>
            </w:r>
          </w:p>
        </w:tc>
        <w:tc>
          <w:tcPr>
            <w:tcW w:type="dxa" w:w="2870"/>
            <w:tcBorders>
              <w:top w:val="nil"/>
              <w:left w:color="000001" w:space="0" w:sz="2" w:val="single"/>
              <w:bottom w:color="000001" w:space="0" w:sz="2" w:val="single"/>
              <w:right w:val="nil"/>
            </w:tcBorders>
            <w:shd w:fill="FFFFFF" w:val="clear"/>
            <w:tcMar>
              <w:left w:type="dxa" w:w="29"/>
            </w:tcMar>
            <w:vAlign w:val="center"/>
          </w:tcPr>
          <w:p>
            <w:pPr>
              <w:pStyle w:val="style0"/>
              <w:jc w:val="left"/>
              <w:rPr>
                <w:rFonts w:ascii="Calibri" w:hAnsi="Calibri"/>
                <w:sz w:val="20"/>
                <w:szCs w:val="20"/>
              </w:rPr>
            </w:pPr>
            <w:r>
              <w:rPr>
                <w:rFonts w:ascii="Calibri" w:hAnsi="Calibri"/>
                <w:sz w:val="20"/>
                <w:szCs w:val="20"/>
              </w:rPr>
              <w:t>Lâmpada LMP-E190 para projetor Sony VPL - EX5 2000 Lumens.</w:t>
            </w:r>
          </w:p>
        </w:tc>
        <w:tc>
          <w:tcPr>
            <w:tcW w:type="dxa" w:w="115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651,78</w:t>
            </w:r>
          </w:p>
        </w:tc>
        <w:tc>
          <w:tcPr>
            <w:tcW w:type="dxa" w:w="1102"/>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12.383,82</w:t>
            </w:r>
          </w:p>
        </w:tc>
      </w:tr>
      <w:tr>
        <w:trPr>
          <w:cantSplit w:val="false"/>
        </w:trPr>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6</w:t>
            </w:r>
          </w:p>
        </w:tc>
        <w:tc>
          <w:tcPr>
            <w:tcW w:type="dxa" w:w="72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r>
          </w:p>
        </w:tc>
        <w:tc>
          <w:tcPr>
            <w:tcW w:type="dxa" w:w="657"/>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Unid.</w:t>
            </w:r>
          </w:p>
        </w:tc>
        <w:tc>
          <w:tcPr>
            <w:tcW w:type="dxa" w:w="73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54</w:t>
            </w:r>
          </w:p>
        </w:tc>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w:t>
            </w:r>
          </w:p>
        </w:tc>
        <w:tc>
          <w:tcPr>
            <w:tcW w:type="dxa" w:w="2870"/>
            <w:tcBorders>
              <w:top w:val="nil"/>
              <w:left w:color="000001" w:space="0" w:sz="2" w:val="single"/>
              <w:bottom w:color="000001" w:space="0" w:sz="2" w:val="single"/>
              <w:right w:val="nil"/>
            </w:tcBorders>
            <w:shd w:fill="FFFFFF" w:val="clear"/>
            <w:tcMar>
              <w:left w:type="dxa" w:w="29"/>
            </w:tcMar>
            <w:vAlign w:val="center"/>
          </w:tcPr>
          <w:p>
            <w:pPr>
              <w:pStyle w:val="style0"/>
              <w:jc w:val="left"/>
              <w:rPr>
                <w:rFonts w:ascii="Calibri" w:hAnsi="Calibri"/>
                <w:sz w:val="20"/>
                <w:szCs w:val="20"/>
              </w:rPr>
            </w:pPr>
            <w:r>
              <w:rPr>
                <w:rFonts w:ascii="Calibri" w:hAnsi="Calibri"/>
                <w:sz w:val="20"/>
                <w:szCs w:val="20"/>
              </w:rPr>
              <w:t>Lâmpada Epson ELPLP67 para microcomputador Interativo PC3500 Daruma.</w:t>
            </w:r>
          </w:p>
        </w:tc>
        <w:tc>
          <w:tcPr>
            <w:tcW w:type="dxa" w:w="115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536,47</w:t>
            </w:r>
          </w:p>
        </w:tc>
        <w:tc>
          <w:tcPr>
            <w:tcW w:type="dxa" w:w="1102"/>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28.969,38</w:t>
            </w:r>
          </w:p>
        </w:tc>
      </w:tr>
      <w:tr>
        <w:trPr>
          <w:cantSplit w:val="false"/>
        </w:trPr>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7</w:t>
            </w:r>
          </w:p>
        </w:tc>
        <w:tc>
          <w:tcPr>
            <w:tcW w:type="dxa" w:w="72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r>
          </w:p>
        </w:tc>
        <w:tc>
          <w:tcPr>
            <w:tcW w:type="dxa" w:w="657"/>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Unid.</w:t>
            </w:r>
          </w:p>
        </w:tc>
        <w:tc>
          <w:tcPr>
            <w:tcW w:type="dxa" w:w="73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20</w:t>
            </w:r>
          </w:p>
        </w:tc>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2</w:t>
            </w:r>
          </w:p>
        </w:tc>
        <w:tc>
          <w:tcPr>
            <w:tcW w:type="dxa" w:w="2870"/>
            <w:tcBorders>
              <w:top w:val="nil"/>
              <w:left w:color="000001" w:space="0" w:sz="2" w:val="single"/>
              <w:bottom w:color="000001" w:space="0" w:sz="2" w:val="single"/>
              <w:right w:val="nil"/>
            </w:tcBorders>
            <w:shd w:fill="FFFFFF" w:val="clear"/>
            <w:tcMar>
              <w:left w:type="dxa" w:w="29"/>
            </w:tcMar>
            <w:vAlign w:val="center"/>
          </w:tcPr>
          <w:p>
            <w:pPr>
              <w:pStyle w:val="style0"/>
              <w:jc w:val="left"/>
              <w:rPr>
                <w:rFonts w:ascii="Calibri" w:hAnsi="Calibri"/>
                <w:sz w:val="20"/>
                <w:szCs w:val="20"/>
              </w:rPr>
            </w:pPr>
            <w:r>
              <w:rPr>
                <w:rFonts w:ascii="Calibri" w:hAnsi="Calibri"/>
                <w:sz w:val="20"/>
                <w:szCs w:val="20"/>
              </w:rPr>
              <w:t>Lâmpada NP18LP para o projetor NEC NP-VE282X</w:t>
            </w:r>
          </w:p>
        </w:tc>
        <w:tc>
          <w:tcPr>
            <w:tcW w:type="dxa" w:w="1158"/>
            <w:tcBorders>
              <w:top w:val="nil"/>
              <w:left w:color="000001" w:space="0" w:sz="2" w:val="single"/>
              <w:bottom w:color="000001" w:space="0" w:sz="2" w:val="single"/>
              <w:right w:val="nil"/>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616,80</w:t>
            </w:r>
          </w:p>
        </w:tc>
        <w:tc>
          <w:tcPr>
            <w:tcW w:type="dxa" w:w="1102"/>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rFonts w:ascii="Calibri" w:hAnsi="Calibri"/>
                <w:sz w:val="20"/>
                <w:szCs w:val="20"/>
              </w:rPr>
            </w:pPr>
            <w:r>
              <w:rPr>
                <w:rFonts w:ascii="Calibri" w:hAnsi="Calibri"/>
                <w:sz w:val="20"/>
                <w:szCs w:val="20"/>
              </w:rPr>
              <w:t>12.336,00</w:t>
            </w:r>
          </w:p>
        </w:tc>
      </w:tr>
      <w:tr>
        <w:trPr>
          <w:cantSplit w:val="false"/>
        </w:trPr>
        <w:tc>
          <w:tcPr>
            <w:tcW w:type="dxa" w:w="844"/>
            <w:tcBorders>
              <w:top w:val="nil"/>
              <w:left w:color="000001" w:space="0" w:sz="2" w:val="single"/>
              <w:bottom w:color="000001" w:space="0" w:sz="2" w:val="single"/>
              <w:right w:val="nil"/>
            </w:tcBorders>
            <w:shd w:fill="FFFFFF" w:val="clear"/>
            <w:tcMar>
              <w:left w:type="dxa" w:w="29"/>
            </w:tcMar>
            <w:vAlign w:val="center"/>
          </w:tcPr>
          <w:p>
            <w:pPr>
              <w:pStyle w:val="style0"/>
              <w:jc w:val="both"/>
              <w:rPr>
                <w:rFonts w:ascii="Calibri" w:hAnsi="Calibri"/>
                <w:b/>
                <w:bCs/>
                <w:sz w:val="20"/>
                <w:szCs w:val="20"/>
              </w:rPr>
            </w:pPr>
            <w:r>
              <w:rPr>
                <w:rFonts w:ascii="Calibri" w:hAnsi="Calibri"/>
                <w:b/>
                <w:bCs/>
                <w:sz w:val="20"/>
                <w:szCs w:val="20"/>
              </w:rPr>
              <w:t>TOTAL</w:t>
            </w:r>
          </w:p>
        </w:tc>
        <w:tc>
          <w:tcPr>
            <w:tcW w:type="dxa" w:w="728"/>
            <w:tcBorders>
              <w:top w:val="nil"/>
              <w:left w:color="000001" w:space="0" w:sz="2" w:val="single"/>
              <w:bottom w:color="000001" w:space="0" w:sz="2" w:val="single"/>
              <w:right w:val="nil"/>
            </w:tcBorders>
            <w:shd w:fill="FFFFFF" w:val="clear"/>
            <w:tcMar>
              <w:left w:type="dxa" w:w="29"/>
            </w:tcMar>
            <w:vAlign w:val="center"/>
          </w:tcPr>
          <w:p>
            <w:pPr>
              <w:pStyle w:val="style0"/>
              <w:jc w:val="both"/>
              <w:rPr/>
            </w:pPr>
            <w:r>
              <w:rPr/>
            </w:r>
          </w:p>
        </w:tc>
        <w:tc>
          <w:tcPr>
            <w:tcW w:type="dxa" w:w="7369"/>
            <w:gridSpan w:val="6"/>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rFonts w:ascii="Calibri" w:hAnsi="Calibri"/>
                <w:b/>
                <w:bCs/>
                <w:sz w:val="20"/>
                <w:szCs w:val="20"/>
              </w:rPr>
            </w:pPr>
            <w:r>
              <w:rPr>
                <w:rFonts w:ascii="Calibri" w:hAnsi="Calibri"/>
                <w:b/>
                <w:bCs/>
                <w:sz w:val="20"/>
                <w:szCs w:val="20"/>
              </w:rPr>
              <w:t>184.030,90</w:t>
            </w:r>
          </w:p>
        </w:tc>
      </w:tr>
    </w:tbl>
    <w:p>
      <w:pPr>
        <w:pStyle w:val="style0"/>
        <w:rPr/>
      </w:pPr>
      <w:r>
        <w:rPr/>
      </w:r>
    </w:p>
    <w:p>
      <w:pPr>
        <w:pStyle w:val="style0"/>
        <w:spacing w:after="120" w:before="0" w:line="276" w:lineRule="auto"/>
        <w:contextualSpacing w:val="false"/>
        <w:jc w:val="both"/>
        <w:rPr>
          <w:rFonts w:ascii="Calibri" w:cs="Arial" w:hAnsi="Calibri"/>
          <w:i/>
          <w:color w:val="000000"/>
          <w:sz w:val="22"/>
          <w:szCs w:val="22"/>
        </w:rPr>
      </w:pPr>
      <w:r>
        <w:rPr>
          <w:rFonts w:ascii="Calibri" w:cs="Arial" w:hAnsi="Calibri"/>
          <w:i/>
          <w:color w:val="000000"/>
          <w:sz w:val="22"/>
          <w:szCs w:val="22"/>
        </w:rPr>
        <w:t>1.2 Estimativas de consumo individualizadas, do órgão gerenciador e órgão(s) e entidade(s) participante conforme anexo IV do Edital.</w:t>
      </w:r>
    </w:p>
    <w:p>
      <w:pPr>
        <w:pStyle w:val="style0"/>
        <w:spacing w:after="120" w:before="0" w:line="276" w:lineRule="auto"/>
        <w:contextualSpacing w:val="false"/>
        <w:jc w:val="both"/>
        <w:rPr>
          <w:rFonts w:ascii="Calibri" w:cs="Arial" w:hAnsi="Calibri"/>
          <w:i/>
          <w:color w:val="000000"/>
          <w:sz w:val="22"/>
          <w:szCs w:val="22"/>
        </w:rPr>
      </w:pPr>
      <w:r>
        <w:rPr>
          <w:rFonts w:ascii="Calibri" w:cs="Arial" w:hAnsi="Calibri"/>
          <w:i/>
          <w:color w:val="000000"/>
          <w:sz w:val="22"/>
          <w:szCs w:val="22"/>
        </w:rPr>
        <w:t>1.3. Todas as ferramentas deverão observar as normas técnicas quando aplicáveis, elaboradas pela Associação Brasileira de Normas Técnicas – ABNT, quanto a requisitos mínimos de qualidade, utilidade, resistência e segurança, nos termos da Lei nº 4.150/62</w:t>
      </w:r>
    </w:p>
    <w:p>
      <w:pPr>
        <w:pStyle w:val="style0"/>
        <w:numPr>
          <w:ilvl w:val="0"/>
          <w:numId w:val="1"/>
        </w:numPr>
        <w:spacing w:after="120" w:before="0" w:line="276" w:lineRule="auto"/>
        <w:contextualSpacing w:val="false"/>
        <w:jc w:val="both"/>
        <w:rPr>
          <w:rFonts w:ascii="Calibri" w:cs="Arial" w:hAnsi="Calibri"/>
          <w:b/>
          <w:color w:val="000000"/>
          <w:sz w:val="22"/>
          <w:szCs w:val="22"/>
        </w:rPr>
      </w:pPr>
      <w:r>
        <w:rPr>
          <w:rFonts w:ascii="Calibri" w:cs="Arial" w:hAnsi="Calibri"/>
          <w:b/>
          <w:color w:val="000000"/>
          <w:sz w:val="22"/>
          <w:szCs w:val="22"/>
        </w:rPr>
        <w:t>JUSTIFICATIVA E OBJETIVO DA CONTRATAÇÃO</w:t>
      </w:r>
    </w:p>
    <w:p>
      <w:pPr>
        <w:pStyle w:val="style0"/>
        <w:widowControl/>
        <w:numPr>
          <w:ilvl w:val="1"/>
          <w:numId w:val="1"/>
        </w:numPr>
        <w:spacing w:after="120" w:before="120" w:line="276" w:lineRule="auto"/>
        <w:contextualSpacing w:val="false"/>
        <w:jc w:val="both"/>
        <w:rPr>
          <w:rFonts w:ascii="Calibri" w:cs="Arial" w:hAnsi="Calibri"/>
          <w:color w:val="000000"/>
          <w:sz w:val="22"/>
          <w:szCs w:val="22"/>
          <w:shd w:fill="FFFFFF" w:val="clear"/>
        </w:rPr>
      </w:pPr>
      <w:r>
        <w:rPr>
          <w:rFonts w:ascii="Calibri" w:cs="Arial" w:hAnsi="Calibri"/>
          <w:color w:val="000000"/>
          <w:sz w:val="22"/>
          <w:szCs w:val="22"/>
        </w:rPr>
        <w:t xml:space="preserve"> </w:t>
      </w:r>
      <w:r>
        <w:rPr>
          <w:rFonts w:ascii="Calibri" w:cs="Arial" w:hAnsi="Calibri"/>
          <w:color w:val="000000"/>
          <w:sz w:val="22"/>
          <w:szCs w:val="22"/>
          <w:shd w:fill="FFFFFF" w:val="clear"/>
        </w:rPr>
        <w:t xml:space="preserve">A aquisição dos referidos produtos por meio de Registro de Preços, Objetivando o atendimento das demandas advindas do IFMT - Campi: Alta Floresta - </w:t>
      </w:r>
      <w:r>
        <w:rPr>
          <w:rFonts w:ascii="Calibri" w:cs="Arial" w:hAnsi="Calibri"/>
          <w:b/>
          <w:bCs/>
          <w:color w:val="000000"/>
          <w:sz w:val="22"/>
          <w:szCs w:val="22"/>
          <w:shd w:fill="FFFFFF" w:val="clear"/>
        </w:rPr>
        <w:t>ALF</w:t>
      </w:r>
      <w:r>
        <w:rPr>
          <w:rFonts w:ascii="Calibri" w:cs="Arial" w:hAnsi="Calibri"/>
          <w:color w:val="000000"/>
          <w:sz w:val="22"/>
          <w:szCs w:val="22"/>
          <w:shd w:fill="FFFFFF" w:val="clear"/>
        </w:rPr>
        <w:t xml:space="preserve">, Cuiabá  - </w:t>
      </w:r>
      <w:r>
        <w:rPr>
          <w:rFonts w:ascii="Calibri" w:cs="Arial" w:hAnsi="Calibri"/>
          <w:b/>
          <w:bCs/>
          <w:color w:val="000000"/>
          <w:sz w:val="22"/>
          <w:szCs w:val="22"/>
          <w:shd w:fill="FFFFFF" w:val="clear"/>
        </w:rPr>
        <w:t>CBA</w:t>
      </w:r>
      <w:r>
        <w:rPr>
          <w:rFonts w:ascii="Calibri" w:cs="Arial" w:hAnsi="Calibri"/>
          <w:color w:val="000000"/>
          <w:sz w:val="22"/>
          <w:szCs w:val="22"/>
          <w:shd w:fill="FFFFFF" w:val="clear"/>
        </w:rPr>
        <w:t xml:space="preserve">,  Campo Novo do Parecis - </w:t>
      </w:r>
      <w:r>
        <w:rPr>
          <w:rFonts w:ascii="Calibri" w:cs="Arial" w:hAnsi="Calibri"/>
          <w:b/>
          <w:bCs/>
          <w:color w:val="000000"/>
          <w:sz w:val="22"/>
          <w:szCs w:val="22"/>
          <w:shd w:fill="FFFFFF" w:val="clear"/>
        </w:rPr>
        <w:t>CNP</w:t>
      </w:r>
      <w:r>
        <w:rPr>
          <w:rFonts w:ascii="Calibri" w:cs="Arial" w:hAnsi="Calibri"/>
          <w:color w:val="000000"/>
          <w:sz w:val="22"/>
          <w:szCs w:val="22"/>
          <w:shd w:fill="FFFFFF" w:val="clear"/>
        </w:rPr>
        <w:t xml:space="preserve">, Primavera do Leste - </w:t>
      </w:r>
      <w:r>
        <w:rPr>
          <w:rFonts w:ascii="Calibri" w:cs="Arial" w:hAnsi="Calibri"/>
          <w:b/>
          <w:bCs/>
          <w:color w:val="000000"/>
          <w:sz w:val="22"/>
          <w:szCs w:val="22"/>
          <w:shd w:fill="FFFFFF" w:val="clear"/>
        </w:rPr>
        <w:t>PDL</w:t>
      </w:r>
      <w:r>
        <w:rPr>
          <w:rFonts w:ascii="Calibri" w:cs="Arial" w:hAnsi="Calibri"/>
          <w:color w:val="000000"/>
          <w:sz w:val="22"/>
          <w:szCs w:val="22"/>
          <w:shd w:fill="FFFFFF" w:val="clear"/>
        </w:rPr>
        <w:t xml:space="preserve">, Pontes e Lacerda - </w:t>
      </w:r>
      <w:r>
        <w:rPr>
          <w:rFonts w:ascii="Calibri" w:cs="Arial" w:hAnsi="Calibri"/>
          <w:b/>
          <w:bCs/>
          <w:color w:val="000000"/>
          <w:sz w:val="22"/>
          <w:szCs w:val="22"/>
          <w:shd w:fill="FFFFFF" w:val="clear"/>
        </w:rPr>
        <w:t>PLC</w:t>
      </w:r>
      <w:r>
        <w:rPr>
          <w:rFonts w:ascii="Calibri" w:cs="Arial" w:hAnsi="Calibri"/>
          <w:color w:val="000000"/>
          <w:sz w:val="22"/>
          <w:szCs w:val="22"/>
          <w:shd w:fill="FFFFFF" w:val="clear"/>
        </w:rPr>
        <w:t xml:space="preserve">, , Sorriso - </w:t>
      </w:r>
      <w:r>
        <w:rPr>
          <w:rFonts w:ascii="Calibri" w:cs="Arial" w:hAnsi="Calibri"/>
          <w:b/>
          <w:bCs/>
          <w:color w:val="000000"/>
          <w:sz w:val="22"/>
          <w:szCs w:val="22"/>
          <w:shd w:fill="FFFFFF" w:val="clear"/>
        </w:rPr>
        <w:t>SRS</w:t>
      </w:r>
      <w:r>
        <w:rPr>
          <w:rFonts w:ascii="Calibri" w:cs="Arial" w:hAnsi="Calibri"/>
          <w:color w:val="000000"/>
          <w:sz w:val="22"/>
          <w:szCs w:val="22"/>
          <w:shd w:fill="FFFFFF" w:val="clear"/>
        </w:rPr>
        <w:t xml:space="preserve">, São Vicente – </w:t>
      </w:r>
      <w:r>
        <w:rPr>
          <w:rFonts w:ascii="Calibri" w:cs="Arial" w:hAnsi="Calibri"/>
          <w:b/>
          <w:bCs/>
          <w:color w:val="000000"/>
          <w:sz w:val="22"/>
          <w:szCs w:val="22"/>
          <w:shd w:fill="FFFFFF" w:val="clear"/>
        </w:rPr>
        <w:t xml:space="preserve">SVC, </w:t>
      </w:r>
      <w:r>
        <w:rPr>
          <w:rFonts w:ascii="Calibri" w:cs="Arial" w:hAnsi="Calibri"/>
          <w:color w:val="000000"/>
          <w:sz w:val="22"/>
          <w:szCs w:val="22"/>
          <w:shd w:fill="FFFFFF" w:val="clear"/>
        </w:rPr>
        <w:t xml:space="preserve"> Tangará da Serra – </w:t>
      </w:r>
      <w:r>
        <w:rPr>
          <w:rFonts w:ascii="Calibri" w:cs="Arial" w:hAnsi="Calibri"/>
          <w:b/>
          <w:bCs/>
          <w:color w:val="000000"/>
          <w:sz w:val="22"/>
          <w:szCs w:val="22"/>
          <w:shd w:fill="FFFFFF" w:val="clear"/>
        </w:rPr>
        <w:t xml:space="preserve">TGA, Várzea Grande – VGA e </w:t>
      </w:r>
      <w:bookmarkStart w:id="1" w:name="__DdeLink__13582_782231183"/>
      <w:r>
        <w:rPr>
          <w:rFonts w:ascii="Calibri" w:cs="Arial" w:hAnsi="Calibri"/>
          <w:b/>
          <w:bCs/>
          <w:color w:val="000000"/>
          <w:sz w:val="22"/>
          <w:szCs w:val="22"/>
          <w:shd w:fill="FFFFFF" w:val="clear"/>
        </w:rPr>
        <w:t>Marinha do Brasil – Centro de Instrução Almirante Alexandrino – Departamento de Apoio ao Ensino</w:t>
      </w:r>
      <w:bookmarkEnd w:id="1"/>
      <w:r>
        <w:rPr>
          <w:rFonts w:ascii="Calibri" w:cs="Arial" w:hAnsi="Calibri"/>
          <w:color w:val="000000"/>
          <w:sz w:val="22"/>
          <w:szCs w:val="22"/>
          <w:shd w:fill="FFFFFF" w:val="clear"/>
        </w:rPr>
        <w:t xml:space="preserve"> </w:t>
      </w:r>
    </w:p>
    <w:p>
      <w:pPr>
        <w:pStyle w:val="style0"/>
        <w:widowControl/>
        <w:numPr>
          <w:ilvl w:val="1"/>
          <w:numId w:val="1"/>
        </w:numPr>
        <w:spacing w:after="120" w:before="120" w:line="276" w:lineRule="auto"/>
        <w:contextualSpacing w:val="false"/>
        <w:jc w:val="both"/>
        <w:rPr>
          <w:rFonts w:ascii="Calibri" w:cs="Arial" w:hAnsi="Calibri"/>
          <w:b w:val="false"/>
          <w:bCs w:val="false"/>
          <w:color w:val="000000"/>
          <w:sz w:val="22"/>
          <w:szCs w:val="22"/>
          <w:shd w:fill="FFFFFF" w:val="clear"/>
        </w:rPr>
      </w:pPr>
      <w:r>
        <w:rPr>
          <w:rFonts w:ascii="Calibri" w:cs="Arial" w:hAnsi="Calibri"/>
          <w:b w:val="false"/>
          <w:bCs w:val="false"/>
          <w:color w:val="000000"/>
          <w:sz w:val="22"/>
          <w:szCs w:val="22"/>
          <w:shd w:fill="FFFFFF" w:val="clear"/>
        </w:rPr>
        <w:t xml:space="preserve">Justifica-se a aquisição de acessórios para projetores multimídia, para atender aos diversos setores do IFMT – Campus São Vicente e Campi Participantes. </w:t>
      </w:r>
    </w:p>
    <w:p>
      <w:pPr>
        <w:pStyle w:val="style0"/>
        <w:widowControl/>
        <w:numPr>
          <w:ilvl w:val="2"/>
          <w:numId w:val="1"/>
        </w:numPr>
        <w:spacing w:after="120" w:before="120" w:line="276" w:lineRule="auto"/>
        <w:contextualSpacing w:val="false"/>
        <w:jc w:val="both"/>
        <w:rPr>
          <w:rFonts w:ascii="Calibri" w:cs="Arial" w:hAnsi="Calibri"/>
          <w:b w:val="false"/>
          <w:bCs w:val="false"/>
          <w:color w:val="000000"/>
          <w:sz w:val="22"/>
          <w:szCs w:val="22"/>
          <w:shd w:fill="FFFFFF" w:val="clear"/>
        </w:rPr>
      </w:pPr>
      <w:r>
        <w:rPr>
          <w:rFonts w:ascii="Calibri" w:cs="Arial" w:hAnsi="Calibri"/>
          <w:b w:val="false"/>
          <w:bCs w:val="false"/>
          <w:color w:val="000000"/>
          <w:sz w:val="22"/>
          <w:szCs w:val="22"/>
          <w:shd w:fill="FFFFFF" w:val="clear"/>
        </w:rPr>
        <w:t>A aquisição do IFMT Campus Octayde Jorge da Silva se justifica por desenvolver diversas atividades pedagógicas e administrativas, fazendo-se necessária a aquisição destes materiais para atendimento à Coordenação de tecnologia da Informação além de  demais departamentos de áreas estudantis.</w:t>
      </w:r>
    </w:p>
    <w:p>
      <w:pPr>
        <w:pStyle w:val="style0"/>
        <w:widowControl/>
        <w:numPr>
          <w:ilvl w:val="2"/>
          <w:numId w:val="1"/>
        </w:numPr>
        <w:spacing w:after="120" w:before="120" w:line="276" w:lineRule="auto"/>
        <w:contextualSpacing w:val="false"/>
        <w:jc w:val="both"/>
        <w:rPr>
          <w:rFonts w:ascii="Calibri" w:cs="Arial" w:hAnsi="Calibri"/>
          <w:b w:val="false"/>
          <w:bCs w:val="false"/>
          <w:color w:val="000000"/>
          <w:sz w:val="22"/>
          <w:szCs w:val="22"/>
          <w:shd w:fill="FFFFFF" w:val="clear"/>
        </w:rPr>
      </w:pPr>
      <w:r>
        <w:rPr>
          <w:rFonts w:ascii="Calibri" w:cs="Arial" w:hAnsi="Calibri"/>
          <w:b w:val="false"/>
          <w:bCs w:val="false"/>
          <w:color w:val="000000"/>
          <w:sz w:val="22"/>
          <w:szCs w:val="22"/>
          <w:shd w:fill="FFFFFF" w:val="clear"/>
        </w:rPr>
        <w:t>A aquisição do IFMT Campus Várzea Grande justifica-se para atender as necessidades para instalação dos projetores do campus.</w:t>
      </w:r>
    </w:p>
    <w:p>
      <w:pPr>
        <w:pStyle w:val="style0"/>
        <w:widowControl/>
        <w:numPr>
          <w:ilvl w:val="2"/>
          <w:numId w:val="1"/>
        </w:numPr>
        <w:spacing w:after="120" w:before="120" w:line="276" w:lineRule="auto"/>
        <w:contextualSpacing w:val="false"/>
        <w:jc w:val="both"/>
        <w:rPr>
          <w:rFonts w:ascii="Calibri" w:cs="Arial" w:hAnsi="Calibri"/>
          <w:b w:val="false"/>
          <w:bCs w:val="false"/>
          <w:color w:val="000000"/>
          <w:sz w:val="22"/>
          <w:szCs w:val="22"/>
          <w:shd w:fill="FFFFFF" w:val="clear"/>
        </w:rPr>
      </w:pPr>
      <w:r>
        <w:rPr>
          <w:rFonts w:ascii="Calibri" w:cs="Arial" w:hAnsi="Calibri"/>
          <w:b w:val="false"/>
          <w:bCs w:val="false"/>
          <w:color w:val="000000"/>
          <w:sz w:val="22"/>
          <w:szCs w:val="22"/>
          <w:shd w:fill="FFFFFF" w:val="clear"/>
        </w:rPr>
        <w:t>A aquisição do IFMT – Campus Sorriso justifica-se  para reposição de peças nos projetores já existentes e fora de garantia nos departamentos do Campus e Campus Avançado de Guarantã  conforme necessidade.</w:t>
      </w:r>
    </w:p>
    <w:p>
      <w:pPr>
        <w:pStyle w:val="style0"/>
        <w:widowControl/>
        <w:numPr>
          <w:ilvl w:val="2"/>
          <w:numId w:val="1"/>
        </w:numPr>
        <w:spacing w:after="120" w:before="120" w:line="276" w:lineRule="auto"/>
        <w:contextualSpacing w:val="false"/>
        <w:jc w:val="both"/>
        <w:rPr>
          <w:rFonts w:ascii="Calibri" w:cs="Arial" w:hAnsi="Calibri"/>
          <w:b w:val="false"/>
          <w:bCs w:val="false"/>
          <w:color w:val="000000"/>
          <w:sz w:val="22"/>
          <w:szCs w:val="22"/>
          <w:shd w:fill="FFFFFF" w:val="clear"/>
        </w:rPr>
      </w:pPr>
      <w:r>
        <w:rPr>
          <w:rFonts w:ascii="Calibri" w:cs="Arial" w:hAnsi="Calibri"/>
          <w:b w:val="false"/>
          <w:bCs w:val="false"/>
          <w:color w:val="000000"/>
          <w:sz w:val="22"/>
          <w:szCs w:val="22"/>
          <w:shd w:fill="FFFFFF" w:val="clear"/>
        </w:rPr>
        <w:t>A aquisição do Centro de Instrução Almirante Alexandrino  tem como objetivo atender as diversas demandas profissionais da Força e devido a necessidade de manutenção nos  projetores multimídias instalados nas salas de aula.</w:t>
      </w:r>
    </w:p>
    <w:p>
      <w:pPr>
        <w:pStyle w:val="style0"/>
        <w:widowControl/>
        <w:numPr>
          <w:ilvl w:val="1"/>
          <w:numId w:val="1"/>
        </w:numPr>
        <w:spacing w:after="120" w:before="120" w:line="276" w:lineRule="auto"/>
        <w:contextualSpacing w:val="false"/>
        <w:jc w:val="both"/>
        <w:rPr>
          <w:rFonts w:ascii="Calibri" w:cs="Arial" w:hAnsi="Calibri"/>
          <w:b w:val="false"/>
          <w:bCs w:val="false"/>
          <w:color w:val="000000"/>
          <w:sz w:val="22"/>
          <w:szCs w:val="22"/>
          <w:shd w:fill="FFFFFF" w:val="clear"/>
        </w:rPr>
      </w:pPr>
      <w:r>
        <w:rPr>
          <w:rFonts w:ascii="Calibri" w:cs="Arial" w:hAnsi="Calibri"/>
          <w:b w:val="false"/>
          <w:bCs w:val="false"/>
          <w:color w:val="000000"/>
          <w:sz w:val="22"/>
          <w:szCs w:val="22"/>
          <w:shd w:fill="FFFFFF" w:val="clear"/>
        </w:rPr>
        <w:t xml:space="preserve">As quantidades contemplam a expectativa de consumo para o período de doze meses, a fim de atender aos servidores de manutenção corretiva nos projetores dos diversos ambientes desta instituição. </w:t>
      </w:r>
    </w:p>
    <w:p>
      <w:pPr>
        <w:pStyle w:val="style0"/>
        <w:widowControl/>
        <w:numPr>
          <w:ilvl w:val="1"/>
          <w:numId w:val="1"/>
        </w:numPr>
        <w:spacing w:after="120" w:before="120" w:line="276" w:lineRule="auto"/>
        <w:contextualSpacing w:val="false"/>
        <w:jc w:val="both"/>
        <w:rPr>
          <w:rFonts w:ascii="Calibri" w:cs="Arial" w:hAnsi="Calibri"/>
          <w:b w:val="false"/>
          <w:bCs w:val="false"/>
          <w:color w:val="000000"/>
          <w:sz w:val="22"/>
          <w:szCs w:val="22"/>
          <w:shd w:fill="FFFFFF" w:val="clear"/>
        </w:rPr>
      </w:pPr>
      <w:bookmarkStart w:id="2" w:name="__DdeLink__1125_1531237782"/>
      <w:bookmarkEnd w:id="2"/>
      <w:r>
        <w:rPr>
          <w:rFonts w:ascii="Calibri" w:cs="Arial" w:hAnsi="Calibri"/>
          <w:b w:val="false"/>
          <w:bCs w:val="false"/>
          <w:color w:val="000000"/>
          <w:sz w:val="22"/>
          <w:szCs w:val="22"/>
          <w:shd w:fill="FFFFFF" w:val="clear"/>
        </w:rPr>
        <w:t>A entrega poderá ser parcelada, pelo fato dos espaços físicos não serem suficientes para armazenar a quantidade de materiais solicitadas nesta requisição. A existência destes materiais possibilitará sua disponibilidade imediata ao setor responsável pela divisão de manutenção desta Instituição, e desta forma, abre-se a possibilidade de atendimento mais eficaz as ordens de serviços dos mais diversos setores, considerando também que muitas destas ordens são emergenciais.</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hAnsi="Calibri"/>
          <w:color w:val="000000"/>
          <w:sz w:val="22"/>
          <w:szCs w:val="22"/>
          <w:shd w:fill="FFFFFF" w:val="clear"/>
        </w:rPr>
        <w:t>Optou-se pelo Registro de Preços por ser mais conveniente para a Administração evitando parcelamentos e fracionamento na aquisição, a compra conjunta entre os campi envolvidos visa conquistar melhores preços juntos aos fornecedores trazendo maior economicidade aos cofres públicos, bem como, amplia o alcance dos benefícios alcançados com este processo para a comunidade administrativa e educacional do IFMT. Procedimentos para registro formal de preços relativos a prestação de serviços e aquisições de bens, para contratações futuras.</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 xml:space="preserve"> </w:t>
      </w:r>
      <w:r>
        <w:rPr>
          <w:rFonts w:ascii="Calibri" w:hAnsi="Calibri"/>
          <w:color w:val="000000"/>
          <w:sz w:val="22"/>
          <w:szCs w:val="22"/>
        </w:rPr>
        <w:t>O registro de preços será formalizado por intermédio de Ata de Registro de Preços, e nas demais condições previstas neste termo de Referência.</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A existência de preços registrados não obriga a Administração a firmar as contratações que delas poderão advir, facultando-se a realização de licitação específica para a aquisição pretendida, sendo assegurado ao beneficiário do registro preferência de fornecimento em igualdade de condição.</w:t>
      </w:r>
    </w:p>
    <w:p>
      <w:pPr>
        <w:pStyle w:val="style0"/>
        <w:widowControl/>
        <w:numPr>
          <w:ilvl w:val="1"/>
          <w:numId w:val="1"/>
        </w:numPr>
        <w:spacing w:after="120" w:before="120" w:line="276" w:lineRule="auto"/>
        <w:ind w:hanging="432" w:left="1142" w:right="0"/>
        <w:contextualSpacing w:val="false"/>
        <w:jc w:val="both"/>
        <w:rPr>
          <w:rFonts w:ascii="Calibri" w:cs="Arial" w:hAnsi="Calibri"/>
          <w:b w:val="false"/>
          <w:bCs w:val="false"/>
          <w:color w:val="000000"/>
          <w:sz w:val="22"/>
          <w:szCs w:val="22"/>
          <w:shd w:fill="FFFFFF" w:val="clear"/>
        </w:rPr>
      </w:pPr>
      <w:r>
        <w:rPr>
          <w:rFonts w:ascii="Calibri" w:cs="Arial" w:hAnsi="Calibri"/>
          <w:b w:val="false"/>
          <w:bCs w:val="false"/>
          <w:color w:val="000000"/>
          <w:sz w:val="22"/>
          <w:szCs w:val="22"/>
          <w:shd w:fill="FFFFFF" w:val="clear"/>
        </w:rPr>
        <w:t>Nesta licitação, será firmada uma Ata de Registro de Preços, que é um documento vinculativo, obrigacional, com característica de compromisso para futura contratação, onde se registram os preços, fornecedores, órgãos participantes e condições a serem praticadas, conforme as disposições contidas no instrumento convocatório e propostas apresentadas.</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CLASSIFICAÇÃO DOS BENS COMUNS</w:t>
      </w:r>
    </w:p>
    <w:p>
      <w:pPr>
        <w:pStyle w:val="style0"/>
        <w:widowControl/>
        <w:numPr>
          <w:ilvl w:val="1"/>
          <w:numId w:val="1"/>
        </w:numPr>
        <w:spacing w:after="120" w:before="120" w:line="276" w:lineRule="auto"/>
        <w:contextualSpacing w:val="false"/>
        <w:jc w:val="both"/>
        <w:rPr>
          <w:rFonts w:ascii="Calibri" w:cs="Arial" w:hAnsi="Calibri"/>
          <w:b w:val="false"/>
          <w:bCs w:val="false"/>
          <w:color w:val="000000"/>
          <w:sz w:val="22"/>
          <w:szCs w:val="22"/>
        </w:rPr>
      </w:pPr>
      <w:r>
        <w:rPr>
          <w:rFonts w:ascii="Calibri" w:cs="Arial" w:hAnsi="Calibri"/>
          <w:b/>
          <w:color w:val="000000"/>
          <w:sz w:val="22"/>
          <w:szCs w:val="22"/>
        </w:rPr>
        <w:t xml:space="preserve"> </w:t>
      </w:r>
      <w:r>
        <w:rPr>
          <w:rFonts w:ascii="Calibri" w:cs="Arial" w:hAnsi="Calibri"/>
          <w:b w:val="false"/>
          <w:bCs w:val="false"/>
          <w:color w:val="000000"/>
          <w:sz w:val="22"/>
          <w:szCs w:val="22"/>
        </w:rPr>
        <w:t>Os objetos da presente aquisição podem ser objetivamente especificados por meio de padrões usuais no mercado. Desta forma, entendemos que os objetos podem ser classificados com bens comuns, podendo, portanto, ser adquiridos por meio de processo licitatório na modalidade pregão.</w:t>
      </w:r>
    </w:p>
    <w:p>
      <w:pPr>
        <w:pStyle w:val="style0"/>
        <w:widowControl/>
        <w:numPr>
          <w:ilvl w:val="1"/>
          <w:numId w:val="1"/>
        </w:numPr>
        <w:spacing w:after="120" w:before="120" w:line="276" w:lineRule="auto"/>
        <w:contextualSpacing w:val="false"/>
        <w:jc w:val="both"/>
        <w:rPr>
          <w:rFonts w:ascii="Calibri" w:cs="Arial" w:hAnsi="Calibri"/>
          <w:b w:val="false"/>
          <w:bCs w:val="false"/>
          <w:color w:val="000000"/>
          <w:sz w:val="22"/>
          <w:szCs w:val="22"/>
        </w:rPr>
      </w:pPr>
      <w:r>
        <w:rPr>
          <w:rFonts w:ascii="Calibri" w:cs="Arial" w:hAnsi="Calibri"/>
          <w:b w:val="false"/>
          <w:bCs w:val="false"/>
          <w:color w:val="000000"/>
          <w:sz w:val="22"/>
          <w:szCs w:val="22"/>
        </w:rPr>
        <w:t xml:space="preserve"> </w:t>
      </w:r>
      <w:r>
        <w:rPr>
          <w:rFonts w:ascii="Calibri" w:cs="Arial" w:hAnsi="Calibri"/>
          <w:b w:val="false"/>
          <w:bCs w:val="false"/>
          <w:color w:val="000000"/>
          <w:sz w:val="22"/>
          <w:szCs w:val="22"/>
        </w:rPr>
        <w:t>Os bens a serem adquiridos enquadram-se na classificação de bens comuns, nos termos da Lei n° 10.520, de 2002; do Decreto n° 3.555, de 2000 e do Decreto 5.450, de 2005.</w:t>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rPr>
      </w:pPr>
      <w:r>
        <w:rPr>
          <w:rFonts w:ascii="Calibri" w:cs="Arial" w:hAnsi="Calibri"/>
          <w:b/>
          <w:bCs/>
          <w:color w:val="000000"/>
          <w:sz w:val="22"/>
          <w:szCs w:val="22"/>
        </w:rPr>
        <w:t>ENTREGA E CRITÉRIOS DE ACEITAÇÃO DO OBJETO.</w:t>
      </w:r>
    </w:p>
    <w:p>
      <w:pPr>
        <w:pStyle w:val="style0"/>
        <w:widowControl/>
        <w:numPr>
          <w:ilvl w:val="1"/>
          <w:numId w:val="1"/>
        </w:numPr>
        <w:spacing w:after="120" w:before="120" w:line="276" w:lineRule="auto"/>
        <w:contextualSpacing w:val="false"/>
        <w:jc w:val="both"/>
        <w:rPr>
          <w:rFonts w:ascii="Calibri" w:cs="Arial" w:hAnsi="Calibri"/>
          <w:iCs/>
          <w:color w:val="000000"/>
          <w:sz w:val="22"/>
          <w:szCs w:val="22"/>
        </w:rPr>
      </w:pPr>
      <w:r>
        <w:rPr>
          <w:rFonts w:ascii="Calibri" w:cs="Arial" w:hAnsi="Calibri"/>
          <w:iCs/>
          <w:color w:val="000000"/>
          <w:sz w:val="22"/>
          <w:szCs w:val="22"/>
        </w:rPr>
        <w:t xml:space="preserve">O prazo de entrega dos bens é de 30 dias, contados do recebimento da nota de empenho, em remessa </w:t>
      </w:r>
      <w:r>
        <w:rPr>
          <w:rFonts w:ascii="Calibri" w:cs="Arial" w:hAnsi="Calibri"/>
          <w:i/>
          <w:iCs/>
          <w:color w:val="000000"/>
          <w:sz w:val="22"/>
          <w:szCs w:val="22"/>
        </w:rPr>
        <w:t>única ou parcelada</w:t>
      </w:r>
      <w:r>
        <w:rPr>
          <w:rFonts w:ascii="Calibri" w:cs="Arial" w:hAnsi="Calibri"/>
          <w:iCs/>
          <w:color w:val="000000"/>
          <w:sz w:val="22"/>
          <w:szCs w:val="22"/>
        </w:rPr>
        <w:t>, conforme solicitação dos Campi nos endereços abaixo:</w:t>
      </w:r>
    </w:p>
    <w:p>
      <w:pPr>
        <w:pStyle w:val="style0"/>
        <w:widowControl/>
        <w:shd w:fill="FFFFFF" w:val="clear"/>
        <w:suppressAutoHyphens w:val="true"/>
        <w:spacing w:after="120" w:before="120" w:line="276" w:lineRule="auto"/>
        <w:ind w:hanging="0" w:left="1148"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a) IFMT - </w:t>
      </w:r>
      <w:r>
        <w:rPr>
          <w:rFonts w:ascii="Calibri" w:cs="Arial" w:hAnsi="Calibri"/>
          <w:b/>
          <w:bCs/>
          <w:iCs/>
          <w:color w:val="000000"/>
          <w:sz w:val="22"/>
          <w:szCs w:val="22"/>
        </w:rPr>
        <w:t>Alta Floresta</w:t>
      </w:r>
      <w:r>
        <w:rPr>
          <w:rFonts w:ascii="Calibri" w:cs="Arial" w:hAnsi="Calibri"/>
          <w:iCs/>
          <w:color w:val="000000"/>
          <w:sz w:val="22"/>
          <w:szCs w:val="22"/>
        </w:rPr>
        <w:t xml:space="preserve"> - Rua A, Bairro: Setor A, 198, Primeiro Andar - CEP: 78580-000, Telefone: (66) 3512-7000, Alta Floresta / MT.</w:t>
      </w:r>
    </w:p>
    <w:p>
      <w:pPr>
        <w:pStyle w:val="style0"/>
        <w:widowControl/>
        <w:shd w:fill="FFFFFF" w:val="clear"/>
        <w:suppressAutoHyphens w:val="true"/>
        <w:spacing w:after="120" w:before="120" w:line="276" w:lineRule="auto"/>
        <w:ind w:hanging="0" w:left="1148" w:right="0"/>
        <w:contextualSpacing w:val="false"/>
        <w:jc w:val="both"/>
        <w:rPr>
          <w:rFonts w:ascii="Calibri" w:hAnsi="Calibri"/>
          <w:sz w:val="22"/>
          <w:szCs w:val="22"/>
        </w:rPr>
      </w:pPr>
      <w:r>
        <w:rPr>
          <w:rFonts w:ascii="Calibri" w:hAnsi="Calibri"/>
          <w:sz w:val="22"/>
          <w:szCs w:val="22"/>
        </w:rPr>
        <w:t xml:space="preserve">b) IFMT - </w:t>
      </w:r>
      <w:r>
        <w:rPr>
          <w:rFonts w:ascii="Calibri" w:hAnsi="Calibri"/>
          <w:b/>
          <w:bCs/>
          <w:sz w:val="22"/>
          <w:szCs w:val="22"/>
        </w:rPr>
        <w:t xml:space="preserve">Campus Cuiabá </w:t>
      </w:r>
      <w:r>
        <w:rPr>
          <w:rFonts w:ascii="Calibri" w:hAnsi="Calibri"/>
          <w:sz w:val="22"/>
          <w:szCs w:val="22"/>
        </w:rPr>
        <w:t>- Rua Profa. Zulmira Canavarros, 93 - CEP: 78605-200, Telefone: (65) 3318-1400, Cuiabá / MT.</w:t>
      </w:r>
    </w:p>
    <w:p>
      <w:pPr>
        <w:pStyle w:val="style0"/>
        <w:widowControl/>
        <w:shd w:fill="FFFFFF" w:val="clear"/>
        <w:suppressAutoHyphens w:val="true"/>
        <w:spacing w:after="120" w:before="120" w:line="276" w:lineRule="auto"/>
        <w:ind w:hanging="0" w:left="1148" w:right="0"/>
        <w:contextualSpacing w:val="false"/>
        <w:jc w:val="both"/>
        <w:rPr>
          <w:rFonts w:ascii="Calibri" w:hAnsi="Calibri"/>
          <w:sz w:val="22"/>
          <w:szCs w:val="22"/>
        </w:rPr>
      </w:pPr>
      <w:r>
        <w:rPr>
          <w:rFonts w:ascii="Calibri" w:hAnsi="Calibri"/>
          <w:sz w:val="22"/>
          <w:szCs w:val="22"/>
        </w:rPr>
        <w:t xml:space="preserve">c) IFMT - </w:t>
      </w:r>
      <w:r>
        <w:rPr>
          <w:rFonts w:ascii="Calibri" w:hAnsi="Calibri"/>
          <w:b/>
          <w:bCs/>
          <w:sz w:val="22"/>
          <w:szCs w:val="22"/>
        </w:rPr>
        <w:t>Campus Campo Novo do Parecis</w:t>
      </w:r>
      <w:r>
        <w:rPr>
          <w:rFonts w:ascii="Calibri" w:hAnsi="Calibri"/>
          <w:sz w:val="22"/>
          <w:szCs w:val="22"/>
        </w:rPr>
        <w:t xml:space="preserve"> - MT 235 Km 12, s/n - CEP: 78360-000, Telefone: (65) 3382-6200, Campo Novo do Parecis / MT.</w:t>
      </w:r>
    </w:p>
    <w:p>
      <w:pPr>
        <w:pStyle w:val="style0"/>
        <w:widowControl/>
        <w:shd w:fill="FFFFFF" w:val="clear"/>
        <w:suppressAutoHyphens w:val="true"/>
        <w:spacing w:after="120" w:before="120" w:line="276" w:lineRule="auto"/>
        <w:ind w:hanging="0" w:left="1148" w:right="0"/>
        <w:contextualSpacing w:val="false"/>
        <w:jc w:val="both"/>
        <w:rPr>
          <w:rFonts w:ascii="Calibri" w:hAnsi="Calibri"/>
          <w:sz w:val="22"/>
          <w:szCs w:val="22"/>
        </w:rPr>
      </w:pPr>
      <w:r>
        <w:rPr>
          <w:rFonts w:ascii="Calibri" w:hAnsi="Calibri"/>
          <w:sz w:val="22"/>
          <w:szCs w:val="22"/>
        </w:rPr>
        <w:t xml:space="preserve">d) IFMT - </w:t>
      </w:r>
      <w:r>
        <w:rPr>
          <w:rFonts w:ascii="Calibri" w:hAnsi="Calibri"/>
          <w:b/>
          <w:bCs/>
          <w:sz w:val="22"/>
          <w:szCs w:val="22"/>
        </w:rPr>
        <w:t>Campus Primavera do Leste</w:t>
      </w:r>
      <w:r>
        <w:rPr>
          <w:rFonts w:ascii="Calibri" w:hAnsi="Calibri"/>
          <w:sz w:val="22"/>
          <w:szCs w:val="22"/>
        </w:rPr>
        <w:t xml:space="preserve"> - AVENIDA SANTO ANTÔNIO, Nº 1.075, Parque Eldorado – Primavera do Leste – MT. Telefone: (66)3498-2716.</w:t>
      </w:r>
    </w:p>
    <w:p>
      <w:pPr>
        <w:pStyle w:val="style0"/>
        <w:widowControl/>
        <w:shd w:fill="FFFFFF" w:val="clear"/>
        <w:suppressAutoHyphens w:val="true"/>
        <w:spacing w:after="120" w:before="120" w:line="276" w:lineRule="auto"/>
        <w:ind w:hanging="0" w:left="1148" w:right="0"/>
        <w:contextualSpacing w:val="false"/>
        <w:jc w:val="both"/>
        <w:rPr>
          <w:rFonts w:ascii="Calibri" w:hAnsi="Calibri"/>
          <w:sz w:val="22"/>
          <w:szCs w:val="22"/>
        </w:rPr>
      </w:pPr>
      <w:r>
        <w:rPr>
          <w:rFonts w:ascii="Calibri" w:hAnsi="Calibri"/>
          <w:sz w:val="22"/>
          <w:szCs w:val="22"/>
        </w:rPr>
        <w:t xml:space="preserve">e) IFMT - </w:t>
      </w:r>
      <w:r>
        <w:rPr>
          <w:rFonts w:ascii="Calibri" w:hAnsi="Calibri"/>
          <w:b/>
          <w:bCs/>
          <w:sz w:val="22"/>
          <w:szCs w:val="22"/>
        </w:rPr>
        <w:t>Campus Pontes e Lacerda</w:t>
      </w:r>
      <w:r>
        <w:rPr>
          <w:rFonts w:ascii="Calibri" w:hAnsi="Calibri"/>
          <w:sz w:val="22"/>
          <w:szCs w:val="22"/>
        </w:rPr>
        <w:t xml:space="preserve"> - Rodovia MT-473, s/n - CEP: 78250-000, Telefone: (65) 32668200/3266-8241, Pontes e Lacerda / MT.</w:t>
      </w:r>
    </w:p>
    <w:p>
      <w:pPr>
        <w:pStyle w:val="style0"/>
        <w:widowControl/>
        <w:shd w:fill="FFFFFF" w:val="clear"/>
        <w:suppressAutoHyphens w:val="true"/>
        <w:spacing w:after="120" w:before="120" w:line="276" w:lineRule="auto"/>
        <w:ind w:hanging="0" w:left="1148" w:right="0"/>
        <w:contextualSpacing w:val="false"/>
        <w:jc w:val="both"/>
        <w:rPr>
          <w:rFonts w:ascii="Calibri" w:hAnsi="Calibri"/>
          <w:sz w:val="22"/>
          <w:szCs w:val="22"/>
        </w:rPr>
      </w:pPr>
      <w:r>
        <w:rPr>
          <w:rFonts w:ascii="Calibri" w:hAnsi="Calibri"/>
          <w:sz w:val="22"/>
          <w:szCs w:val="22"/>
        </w:rPr>
        <w:t xml:space="preserve">f) IFMT - </w:t>
      </w:r>
      <w:r>
        <w:rPr>
          <w:rFonts w:ascii="Calibri" w:hAnsi="Calibri"/>
          <w:b/>
          <w:bCs/>
          <w:sz w:val="22"/>
          <w:szCs w:val="22"/>
        </w:rPr>
        <w:t>Campus Sorriso</w:t>
      </w:r>
      <w:r>
        <w:rPr>
          <w:rFonts w:ascii="Calibri" w:hAnsi="Calibri"/>
          <w:sz w:val="22"/>
          <w:szCs w:val="22"/>
        </w:rPr>
        <w:t xml:space="preserve"> - Av. dos Universitários, 799, Bairro: Santa Clara - CEP: 78890-000, Telefone: (65) 9961-2297 - (65) 9985-6928, Sorriso / MT.</w:t>
      </w:r>
    </w:p>
    <w:p>
      <w:pPr>
        <w:pStyle w:val="style0"/>
        <w:widowControl/>
        <w:shd w:fill="FFFFFF" w:val="clear"/>
        <w:suppressAutoHyphens w:val="true"/>
        <w:spacing w:after="120" w:before="120" w:line="276" w:lineRule="auto"/>
        <w:ind w:hanging="0" w:left="1148" w:right="0"/>
        <w:contextualSpacing w:val="false"/>
        <w:jc w:val="both"/>
        <w:rPr>
          <w:rFonts w:ascii="Calibri" w:hAnsi="Calibri"/>
          <w:sz w:val="22"/>
          <w:szCs w:val="22"/>
        </w:rPr>
      </w:pPr>
      <w:r>
        <w:rPr>
          <w:rFonts w:ascii="Calibri" w:hAnsi="Calibri"/>
          <w:sz w:val="22"/>
          <w:szCs w:val="22"/>
        </w:rPr>
        <w:t xml:space="preserve">q) IFMT - </w:t>
      </w:r>
      <w:r>
        <w:rPr>
          <w:rFonts w:ascii="Calibri" w:hAnsi="Calibri"/>
          <w:b/>
          <w:bCs/>
          <w:sz w:val="22"/>
          <w:szCs w:val="22"/>
        </w:rPr>
        <w:t xml:space="preserve">Campus São Vicente </w:t>
      </w:r>
      <w:r>
        <w:rPr>
          <w:rFonts w:ascii="Calibri" w:hAnsi="Calibri"/>
          <w:sz w:val="22"/>
          <w:szCs w:val="22"/>
        </w:rPr>
        <w:t>- SVC - Rodovia BR 364, Km 329, Vila de São Vicente, Município de Santo Antonio do Leverger - MT, Telefone: (65) 3341-2110.</w:t>
      </w:r>
    </w:p>
    <w:p>
      <w:pPr>
        <w:pStyle w:val="style0"/>
        <w:widowControl/>
        <w:shd w:fill="FFFFFF" w:val="clear"/>
        <w:suppressAutoHyphens w:val="true"/>
        <w:spacing w:after="120" w:before="120" w:line="276" w:lineRule="auto"/>
        <w:ind w:hanging="0" w:left="1148"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h) IFMT - </w:t>
      </w:r>
      <w:r>
        <w:rPr>
          <w:rFonts w:ascii="Calibri" w:cs="Arial" w:hAnsi="Calibri"/>
          <w:b/>
          <w:bCs/>
          <w:iCs/>
          <w:color w:val="000000"/>
          <w:sz w:val="22"/>
          <w:szCs w:val="22"/>
        </w:rPr>
        <w:t>Campus Tangará da Serra</w:t>
      </w:r>
      <w:r>
        <w:rPr>
          <w:rFonts w:ascii="Calibri" w:cs="Arial" w:hAnsi="Calibri"/>
          <w:iCs/>
          <w:color w:val="000000"/>
          <w:sz w:val="22"/>
          <w:szCs w:val="22"/>
        </w:rPr>
        <w:t xml:space="preserve"> - Rua 28, 980 N - CEP: 78300-000, Telefone: (65) 3311-8500, Tangará da Serra / MT.</w:t>
      </w:r>
    </w:p>
    <w:p>
      <w:pPr>
        <w:pStyle w:val="style0"/>
        <w:widowControl/>
        <w:shd w:fill="FFFFFF" w:val="clear"/>
        <w:suppressAutoHyphens w:val="true"/>
        <w:spacing w:after="120" w:before="120" w:line="276" w:lineRule="auto"/>
        <w:ind w:hanging="0" w:left="1148"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i) IFMT – </w:t>
      </w:r>
      <w:r>
        <w:rPr>
          <w:rFonts w:ascii="Calibri" w:cs="Arial" w:hAnsi="Calibri"/>
          <w:b/>
          <w:bCs/>
          <w:iCs/>
          <w:color w:val="000000"/>
          <w:sz w:val="22"/>
          <w:szCs w:val="22"/>
        </w:rPr>
        <w:t>Campus Várzea Grande</w:t>
      </w:r>
      <w:r>
        <w:rPr>
          <w:rFonts w:ascii="Calibri" w:cs="Arial" w:hAnsi="Calibri"/>
          <w:iCs/>
          <w:color w:val="000000"/>
          <w:sz w:val="22"/>
          <w:szCs w:val="22"/>
        </w:rPr>
        <w:t xml:space="preserve"> – Avenida Tiradentes, nº 1300, Lot. Jardim Manaira, Petropolis, Varzea Grande – MT, CEP 78144-424;</w:t>
      </w:r>
    </w:p>
    <w:p>
      <w:pPr>
        <w:pStyle w:val="style0"/>
        <w:widowControl/>
        <w:shd w:fill="FFFFFF" w:val="clear"/>
        <w:suppressAutoHyphens w:val="true"/>
        <w:spacing w:after="120" w:before="120" w:line="276" w:lineRule="auto"/>
        <w:ind w:hanging="0" w:left="1148" w:right="0"/>
        <w:contextualSpacing w:val="false"/>
        <w:jc w:val="both"/>
        <w:rPr>
          <w:rFonts w:ascii="Calibri" w:cs="Arial" w:hAnsi="Calibri"/>
          <w:iCs/>
          <w:color w:val="000000"/>
          <w:sz w:val="22"/>
          <w:szCs w:val="22"/>
          <w:shd w:fill="FFFFFF" w:val="clear"/>
        </w:rPr>
      </w:pPr>
      <w:r>
        <w:rPr>
          <w:rFonts w:ascii="Calibri" w:cs="Arial" w:hAnsi="Calibri"/>
          <w:iCs/>
          <w:color w:val="000000"/>
          <w:sz w:val="22"/>
          <w:szCs w:val="22"/>
        </w:rPr>
        <w:t xml:space="preserve">j) </w:t>
      </w:r>
      <w:r>
        <w:rPr>
          <w:rFonts w:ascii="Calibri" w:cs="Arial" w:hAnsi="Calibri"/>
          <w:b/>
          <w:bCs/>
          <w:iCs/>
          <w:color w:val="000000"/>
          <w:sz w:val="22"/>
          <w:szCs w:val="22"/>
          <w:shd w:fill="FFFFFF" w:val="clear"/>
        </w:rPr>
        <w:t>Marinha do Brasil – Centro de Instrução Almirante Alexandrino – Departamento de Apoio ao Ensino</w:t>
      </w:r>
      <w:r>
        <w:rPr>
          <w:rFonts w:ascii="Calibri" w:cs="Arial" w:hAnsi="Calibri"/>
          <w:iCs/>
          <w:color w:val="000000"/>
          <w:sz w:val="22"/>
          <w:szCs w:val="22"/>
          <w:shd w:fill="FFFFFF" w:val="clear"/>
        </w:rPr>
        <w:t xml:space="preserve"> – Av Brasil 10946 Penha, RJ, CEP 21012-350, Fone 2126-6065, 2126-6064</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 xml:space="preserve">Os bens serão recebidos provisoriamente no prazo de 5 (cinco) dias, pelo(a) responsável pelo acompanhamento e fiscalização do contrato, para efeito de posterior verificação de sua conformidade com as especificações constantes neste Termo de Referência e na proposta. </w:t>
      </w:r>
    </w:p>
    <w:p>
      <w:pPr>
        <w:pStyle w:val="style0"/>
        <w:numPr>
          <w:ilvl w:val="1"/>
          <w:numId w:val="1"/>
        </w:numPr>
        <w:spacing w:after="120" w:before="120" w:line="276" w:lineRule="auto"/>
        <w:ind w:hanging="432" w:left="1142" w:right="0"/>
        <w:contextualSpacing w:val="false"/>
        <w:jc w:val="both"/>
        <w:rPr>
          <w:rFonts w:ascii="Calibri" w:cs="Arial" w:hAnsi="Calibri"/>
          <w:bCs/>
          <w:color w:val="000000"/>
          <w:sz w:val="22"/>
          <w:szCs w:val="22"/>
        </w:rPr>
      </w:pPr>
      <w:r>
        <w:rPr>
          <w:rFonts w:ascii="Calibri" w:cs="Arial" w:hAnsi="Calibri"/>
          <w:bCs/>
          <w:color w:val="000000"/>
          <w:sz w:val="22"/>
          <w:szCs w:val="22"/>
        </w:rPr>
        <w:t>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Os bens serão recebidos definitivamente no prazo de 10 (dez) dias, contados do recebimento provisório, após a verificação da qualidade e quantidade do material e consequente aceitação mediante termo circunstanciado.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Na hipótese de a verificação a que se refere o subitem anterior não ser procedida dentro do prazo fixado, reputar-se-á como realizada, consumando-se o recebimento definitivo no dia do esgotamento do prazo.</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Serão observados os prazos de validade indicados pelos fabricantes.</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 xml:space="preserve"> </w:t>
      </w:r>
      <w:r>
        <w:rPr>
          <w:rFonts w:ascii="Calibri" w:hAnsi="Calibri"/>
          <w:color w:val="000000"/>
          <w:sz w:val="22"/>
          <w:szCs w:val="22"/>
        </w:rPr>
        <w:t>O prazo mínimo de garantia de fábrica dos produtos deverá ser de no mínimo 12 meses, a partir do recebimento definitivo dos produtos.</w:t>
      </w:r>
    </w:p>
    <w:p>
      <w:pPr>
        <w:pStyle w:val="style0"/>
        <w:numPr>
          <w:ilvl w:val="2"/>
          <w:numId w:val="1"/>
        </w:numPr>
        <w:spacing w:after="120" w:before="120" w:line="276" w:lineRule="auto"/>
        <w:ind w:hanging="504" w:left="1639" w:right="0"/>
        <w:contextualSpacing w:val="false"/>
        <w:jc w:val="both"/>
        <w:rPr>
          <w:rFonts w:ascii="Calibri" w:cs="Arial" w:hAnsi="Calibri"/>
          <w:b w:val="false"/>
          <w:bCs w:val="false"/>
          <w:color w:val="000000"/>
          <w:sz w:val="22"/>
          <w:szCs w:val="22"/>
          <w:lang w:eastAsia="en-US"/>
        </w:rPr>
      </w:pPr>
      <w:r>
        <w:rPr>
          <w:rFonts w:ascii="Calibri" w:cs="Arial" w:hAnsi="Calibri"/>
          <w:b w:val="false"/>
          <w:bCs w:val="false"/>
          <w:color w:val="000000"/>
          <w:sz w:val="22"/>
          <w:szCs w:val="22"/>
          <w:lang w:eastAsia="en-US"/>
        </w:rPr>
        <w:t xml:space="preserve"> </w:t>
      </w:r>
      <w:r>
        <w:rPr>
          <w:rFonts w:ascii="Calibri" w:cs="Arial" w:hAnsi="Calibri"/>
          <w:b w:val="false"/>
          <w:bCs w:val="false"/>
          <w:color w:val="000000"/>
          <w:sz w:val="22"/>
          <w:szCs w:val="22"/>
          <w:lang w:eastAsia="en-US"/>
        </w:rPr>
        <w:t>Não serão aceitos produtos com validade vencida ou com data de fabricação defasada que comprometa a sua plena utilização.</w:t>
      </w:r>
    </w:p>
    <w:p>
      <w:pPr>
        <w:pStyle w:val="style0"/>
        <w:widowControl/>
        <w:numPr>
          <w:ilvl w:val="1"/>
          <w:numId w:val="1"/>
        </w:numPr>
        <w:spacing w:after="120" w:before="120" w:line="276" w:lineRule="auto"/>
        <w:ind w:hanging="432" w:left="1142" w:right="0"/>
        <w:contextualSpacing w:val="false"/>
        <w:jc w:val="both"/>
        <w:rPr>
          <w:rFonts w:ascii="Calibri" w:cs="Arial" w:hAnsi="Calibri"/>
          <w:b w:val="false"/>
          <w:bCs w:val="false"/>
          <w:color w:val="000000"/>
          <w:sz w:val="22"/>
          <w:szCs w:val="22"/>
          <w:lang w:eastAsia="en-US"/>
        </w:rPr>
      </w:pPr>
      <w:r>
        <w:rPr>
          <w:rFonts w:ascii="Calibri" w:cs="Arial" w:hAnsi="Calibri"/>
          <w:b w:val="false"/>
          <w:bCs w:val="false"/>
          <w:color w:val="000000"/>
          <w:sz w:val="22"/>
          <w:szCs w:val="22"/>
          <w:lang w:eastAsia="en-US"/>
        </w:rPr>
        <w:t>Relativamente ao disposto no Edital, aplica-se também, subsidiariamente, no que couberem, as disposições do Código de Defesa do Consumidor, instituído pela Lei nº. 8.078, de 11 de setembro de 1990.</w:t>
      </w:r>
    </w:p>
    <w:p>
      <w:pPr>
        <w:pStyle w:val="style0"/>
        <w:widowControl/>
        <w:numPr>
          <w:ilvl w:val="1"/>
          <w:numId w:val="1"/>
        </w:numPr>
        <w:spacing w:after="120" w:before="120" w:line="276" w:lineRule="auto"/>
        <w:ind w:hanging="432" w:left="1142" w:right="0"/>
        <w:contextualSpacing w:val="false"/>
        <w:jc w:val="both"/>
        <w:rPr>
          <w:rFonts w:ascii="Calibri" w:cs="Arial" w:hAnsi="Calibri"/>
          <w:b w:val="false"/>
          <w:bCs w:val="false"/>
          <w:color w:val="000000"/>
          <w:sz w:val="22"/>
          <w:szCs w:val="22"/>
          <w:lang w:eastAsia="en-US"/>
        </w:rPr>
      </w:pPr>
      <w:r>
        <w:rPr>
          <w:rFonts w:ascii="Calibri" w:cs="Arial" w:hAnsi="Calibri"/>
          <w:b w:val="false"/>
          <w:bCs w:val="false"/>
          <w:color w:val="000000"/>
          <w:sz w:val="22"/>
          <w:szCs w:val="22"/>
          <w:lang w:eastAsia="en-US"/>
        </w:rPr>
        <w:t>É vedado o fornecimento de qualquer produto em desacordo com as normas expedidas, pelos órgãos oficiais competentes ou, se normas especificadas não existirem, pela Associação Brasileira de Normas Técnicas ou outra entidade credenciada oficial.</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O recebimento provisório ou definitivo do objeto não exclui a responsabilidade da contratada pelos prejuízos resultantes da incorreta execução do contrato.</w:t>
      </w:r>
    </w:p>
    <w:p>
      <w:pPr>
        <w:pStyle w:val="style0"/>
        <w:spacing w:after="120" w:before="0" w:line="276" w:lineRule="auto"/>
        <w:ind w:hanging="0" w:left="567" w:right="-15"/>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DAS OBRIGAÇÕES DA CONTRATANTE</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São obrigações da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Receber o objeto no prazo e condições estabelecidas no Edital e seus anexos;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Verificar minuciosamente, no prazo fixado, a conformidade dos bens recebidos provisoriamente com as especificações constantes do Edital e da proposta, para fins de aceitação e recebimento definitivo;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Contratada, por escrito, sobre imperfeições, falhas ou irregularidades verificadas no objeto fornecido, para que seja substituído, reparado ou corrigido;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Acompanhar e fiscalizar o cumprimento das obrigações da Contratada, através de comissão/servidor especialmente designado;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Efetuar o pagamento à Contratada</w:t>
      </w:r>
      <w:r>
        <w:rPr>
          <w:rFonts w:ascii="Calibri" w:cs="Arial" w:hAnsi="Calibri"/>
          <w:b/>
          <w:color w:val="000000"/>
          <w:sz w:val="22"/>
          <w:szCs w:val="22"/>
        </w:rPr>
        <w:t xml:space="preserve"> </w:t>
      </w:r>
      <w:r>
        <w:rPr>
          <w:rFonts w:ascii="Calibri" w:cs="Arial" w:hAnsi="Calibri"/>
          <w:color w:val="000000"/>
          <w:sz w:val="22"/>
          <w:szCs w:val="22"/>
        </w:rPr>
        <w:t>no valor correspondente ao fornecimento do objeto, no prazo e forma estabelecidos no Edital e seus anexos;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não responderá por quaisquer compromissos assumidos pela Contratada com terceiros, bem como por qualquer dano causado a terceiros em decorrência de ato da Contratada, de seus empregados, prepostos ou subordinados.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realizará pesquisa de preços periodicamente, em prazo não superior a 180 (cento e oitenta) dias, a fim de verificar a vantajosidade dos preços registrados em Ata.</w:t>
      </w:r>
    </w:p>
    <w:p>
      <w:pPr>
        <w:pStyle w:val="style0"/>
        <w:numPr>
          <w:ilvl w:val="1"/>
          <w:numId w:val="1"/>
        </w:numPr>
        <w:spacing w:after="0" w:before="0" w:line="276" w:lineRule="auto"/>
        <w:contextualSpacing w:val="false"/>
        <w:jc w:val="both"/>
        <w:rPr>
          <w:rFonts w:ascii="Calibri" w:cs="Arial" w:hAnsi="Calibri"/>
          <w:b/>
          <w:color w:val="000000"/>
          <w:sz w:val="22"/>
          <w:szCs w:val="22"/>
        </w:rPr>
      </w:pPr>
      <w:r>
        <w:rPr>
          <w:rFonts w:ascii="Calibri" w:cs="Arial" w:hAnsi="Calibri"/>
          <w:b/>
          <w:color w:val="000000"/>
          <w:sz w:val="22"/>
          <w:szCs w:val="22"/>
        </w:rPr>
        <w:t xml:space="preserve">Para os itens com resíduos potencialmente poluidores, como: baterias, pneus, venenos, lâmpadas, etc, será exigido dos fornecedores que os mesmos tenham implantado a logística reserva, consoante ao previsto no artigo 33 da Lei nº 12.305/2010. </w:t>
      </w:r>
    </w:p>
    <w:p>
      <w:pPr>
        <w:pStyle w:val="style0"/>
        <w:spacing w:after="120" w:before="120" w:line="276" w:lineRule="auto"/>
        <w:ind w:hanging="432" w:left="425"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OBRIGAÇÕES DA CONTRATADA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deve cumprir todas as obrigações constantes no Edital, seus anexos e sua proposta, assumindo como exclusivamente seus os riscos e as despesas decorrentes da boa e perfeita execução do objeto e, ainda:</w:t>
      </w:r>
    </w:p>
    <w:p>
      <w:pPr>
        <w:pStyle w:val="style0"/>
        <w:numPr>
          <w:ilvl w:val="2"/>
          <w:numId w:val="1"/>
        </w:numPr>
        <w:spacing w:after="120" w:before="120" w:line="276" w:lineRule="auto"/>
        <w:ind w:hanging="504" w:left="1639" w:right="0"/>
        <w:contextualSpacing w:val="false"/>
        <w:jc w:val="both"/>
        <w:rPr>
          <w:rFonts w:ascii="Calibri" w:cs="Arial" w:hAnsi="Calibri"/>
          <w:i/>
          <w:color w:val="000000"/>
          <w:sz w:val="22"/>
          <w:szCs w:val="22"/>
        </w:rPr>
      </w:pPr>
      <w:r>
        <w:rPr>
          <w:rFonts w:ascii="Calibri" w:cs="Arial" w:hAnsi="Calibri"/>
          <w:color w:val="000000"/>
          <w:sz w:val="22"/>
          <w:szCs w:val="22"/>
        </w:rPr>
        <w:t xml:space="preserve">Efetuar a entrega do objeto em perfeitas condições, conforme especificações, prazo e local constantes no Edital e seus anexos, acompanhado da respectiva nota fiscal, na qual constarão as indicações referentes a: </w:t>
      </w:r>
      <w:r>
        <w:rPr>
          <w:rFonts w:ascii="Calibri" w:cs="Arial" w:hAnsi="Calibri"/>
          <w:i/>
          <w:color w:val="000000"/>
          <w:sz w:val="22"/>
          <w:szCs w:val="22"/>
        </w:rPr>
        <w:t>marca, fabricante, modelo, procedência e prazo de validade;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Responsabilizar-se pelos vícios e danos decorrentes do objeto, de acordo com os artigos 12, 13 e 17 a 27, do Código de Defesa do Consumidor (Lei nº 8.078, de 1990);</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Substituir, reparar ou corrigir, às suas expensas, no prazo fixado neste Termo de Referência, o objeto com avarias ou defeitos;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Contratante, no prazo máximo de 24 (vinte e quatro) horas que antecede a data da entrega, os motivos que impossibilitem o cumprimento do prazo previsto, com a devida comprovação;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Manter, durante toda a execução do contrato, em compatibilidade com as obrigações assumidas, todas as condições de habilitação e qualificação exigidas na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Indicar preposto para representá-la durante a execução do contrato.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Entregar o material no Setor de Almoxarifado do respectivo órgão participante, em horário normal de expediente, das 8:00 às 17:00  horas, sendo que seu recebimento definitivo só será feito após aprovado e atestado.</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SUBCONTRATAÇÃO</w:t>
      </w:r>
    </w:p>
    <w:p>
      <w:pPr>
        <w:pStyle w:val="style0"/>
        <w:spacing w:after="120" w:before="120" w:line="276" w:lineRule="auto"/>
        <w:ind w:hanging="0" w:left="425" w:right="0"/>
        <w:contextualSpacing w:val="false"/>
        <w:jc w:val="both"/>
        <w:rPr>
          <w:rFonts w:ascii="Calibri" w:cs="Arial" w:hAnsi="Calibri"/>
          <w:i w:val="false"/>
          <w:iCs w:val="false"/>
          <w:color w:val="000000"/>
          <w:sz w:val="22"/>
          <w:szCs w:val="22"/>
        </w:rPr>
      </w:pPr>
      <w:r>
        <w:rPr>
          <w:rFonts w:ascii="Calibri" w:cs="Arial" w:hAnsi="Calibri"/>
          <w:i w:val="false"/>
          <w:iCs w:val="false"/>
          <w:color w:val="000000"/>
          <w:sz w:val="22"/>
          <w:szCs w:val="22"/>
        </w:rPr>
        <w:t>7.1 Não será admitida a subcontratação do objeto licitatório.</w:t>
      </w:r>
    </w:p>
    <w:p>
      <w:pPr>
        <w:pStyle w:val="style0"/>
        <w:spacing w:after="120" w:before="120" w:line="276" w:lineRule="auto"/>
        <w:ind w:hanging="0" w:left="425"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ALTERAÇÃO SUBJETIVA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style0"/>
        <w:spacing w:after="120" w:before="120" w:line="276" w:lineRule="auto"/>
        <w:ind w:hanging="0" w:left="425"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CONTROLE DA EXECUÇÃO</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recebimento de material de valor superior a R$ 80.000,00 (oitenta mil reais) será confiado a uma comissão de, no mínimo, 3 (três) membros, designados pela autoridade competente.</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 fiscalização de que trata este item não exclui nem reduz a </w:t>
      </w:r>
      <w:r>
        <w:rPr>
          <w:rFonts w:ascii="Calibri" w:cs="Arial" w:hAnsi="Calibri"/>
          <w:color w:val="000000"/>
          <w:sz w:val="22"/>
          <w:szCs w:val="22"/>
        </w:rPr>
        <w:t>responsabilidade</w:t>
      </w:r>
      <w:r>
        <w:rPr>
          <w:rFonts w:ascii="Calibri" w:cs="Arial" w:hAnsi="Calibri"/>
          <w:color w:val="000000"/>
          <w:sz w:val="22"/>
          <w:szCs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style0"/>
        <w:spacing w:after="120" w:before="0" w:line="276" w:lineRule="auto"/>
        <w:ind w:hanging="0" w:left="540"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Comete infração administrativa nos termos da Lei nº 8.666, de 1993 e da Lei nº 10.520, de 2002, a Contratada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Inexecutar total ou parcialmente qualquer das obrigações assumidas em decorrência da contratação;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Ensejar o retardamento da execução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Fraudar na execução do contrato;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Comportar-se de modo inidôneo;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Cometer fraude fiscal;</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Não mantiver a proposta.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que cometer qualquer das infrações discriminadas no subitem acima ficará sujeita, sem prejuízo da responsabilidade civil e criminal, às seguintes sanções: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Advertência por faltas leves, assim entendidas aquelas que não acarretem prejuízos significativos para 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moratória de 0,5% (zero vírgula cinco por cento) por dia de atraso injustificado sobre o valor da parcela inadimplida, até o limite de 30 (trinta) dias;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compensatória de 10% (dez por cento) sobre o valor total do contrato, no caso de inexecução total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Em caso de inexecução parcial, a multa compensatória, no mesmo percentual do subitem acima, será aplicada de forma proporcional à obrigação inadimplida;</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 xml:space="preserve">Suspensão de licitar e impedimento de contratar com o órgão, entidade ou unidade administrativa pela qual a Administração Pública opera e atua concretamente, pelo prazo de até dois anos; </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Impedimento de licitar e contratar com a União com o consequente descredenciamento no SICAF pelo prazo de até cinco anos;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Também ficam sujeitas às penalidades do art. 87, III e IV da Lei nº 8.666, de 1993, as empresas e os profissionais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sofrido condenação definitiva por praticar, por meio dolosos, fraude fiscal no recolhimento de quaisquer tributos;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praticado atos ilícitos visando a frustrar os objetivos da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Demonstrem não possuir idoneidade para contratar com a Administração em virtude de atos ilícitos praticados.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spacing w:after="120" w:before="120" w:line="276" w:lineRule="auto"/>
        <w:ind w:hanging="432" w:left="425" w:right="0"/>
        <w:contextualSpacing w:val="false"/>
        <w:jc w:val="both"/>
        <w:rPr>
          <w:rFonts w:ascii="Calibri" w:hAnsi="Calibri"/>
          <w:color w:val="000000"/>
          <w:sz w:val="22"/>
          <w:szCs w:val="22"/>
        </w:rPr>
      </w:pPr>
      <w:r>
        <w:rPr>
          <w:rFonts w:ascii="Calibri" w:hAnsi="Calibri"/>
          <w:color w:val="000000"/>
          <w:sz w:val="22"/>
          <w:szCs w:val="22"/>
        </w:rPr>
      </w:r>
    </w:p>
    <w:p>
      <w:pPr>
        <w:pStyle w:val="style0"/>
        <w:spacing w:after="120" w:before="120" w:line="276" w:lineRule="auto"/>
        <w:ind w:hanging="432" w:left="425" w:right="0"/>
        <w:contextualSpacing w:val="false"/>
        <w:jc w:val="both"/>
        <w:rPr>
          <w:rFonts w:ascii="Calibri" w:hAnsi="Calibri"/>
          <w:color w:val="000000"/>
          <w:sz w:val="22"/>
          <w:szCs w:val="22"/>
        </w:rPr>
      </w:pPr>
      <w:r>
        <w:rPr>
          <w:rFonts w:ascii="Calibri" w:hAnsi="Calibri"/>
          <w:color w:val="000000"/>
          <w:sz w:val="22"/>
          <w:szCs w:val="22"/>
        </w:rPr>
      </w:r>
    </w:p>
    <w:p>
      <w:pPr>
        <w:pStyle w:val="style0"/>
        <w:spacing w:after="360" w:before="0"/>
        <w:ind w:hanging="0" w:left="360" w:right="0"/>
        <w:contextualSpacing w:val="false"/>
        <w:rPr>
          <w:rFonts w:ascii="Calibri" w:cs="Arial" w:hAnsi="Calibri"/>
          <w:color w:val="000000"/>
          <w:sz w:val="22"/>
          <w:szCs w:val="22"/>
        </w:rPr>
      </w:pPr>
      <w:r>
        <w:rPr>
          <w:rFonts w:ascii="Calibri" w:cs="Arial" w:hAnsi="Calibri"/>
          <w:i/>
          <w:color w:val="000000"/>
          <w:sz w:val="22"/>
          <w:szCs w:val="22"/>
        </w:rPr>
        <w:t>São Vicente da Serra - MT</w:t>
      </w:r>
      <w:r>
        <w:rPr>
          <w:rFonts w:ascii="Calibri" w:cs="Arial" w:hAnsi="Calibri"/>
          <w:b/>
          <w:bCs/>
          <w:color w:val="000000"/>
          <w:sz w:val="22"/>
          <w:szCs w:val="22"/>
        </w:rPr>
        <w:t xml:space="preserve"> </w:t>
      </w:r>
      <w:r>
        <w:rPr>
          <w:rFonts w:ascii="Calibri" w:cs="Arial" w:hAnsi="Calibri"/>
          <w:b/>
          <w:bCs/>
          <w:color w:val="000000"/>
          <w:sz w:val="22"/>
          <w:szCs w:val="22"/>
        </w:rPr>
        <w:t>15 setembro</w:t>
      </w:r>
      <w:r>
        <w:rPr>
          <w:rFonts w:ascii="Calibri" w:cs="Arial" w:hAnsi="Calibri"/>
          <w:b/>
          <w:bCs/>
          <w:color w:val="000000"/>
          <w:sz w:val="22"/>
          <w:szCs w:val="22"/>
        </w:rPr>
        <w:t xml:space="preserve"> de 2017</w:t>
      </w:r>
      <w:r>
        <w:rPr>
          <w:rFonts w:ascii="Calibri" w:cs="Arial" w:hAnsi="Calibri"/>
          <w:color w:val="000000"/>
          <w:sz w:val="22"/>
          <w:szCs w:val="22"/>
        </w:rPr>
        <w:t xml:space="preserve">. </w:t>
      </w:r>
    </w:p>
    <w:p>
      <w:pPr>
        <w:pStyle w:val="style59"/>
        <w:jc w:val="center"/>
        <w:rPr>
          <w:rFonts w:ascii="Calibri" w:cs="Arial" w:hAnsi="Calibri"/>
          <w:b/>
          <w:bCs/>
          <w:color w:val="000000"/>
          <w:sz w:val="22"/>
          <w:szCs w:val="22"/>
        </w:rPr>
      </w:pPr>
      <w:r>
        <w:rPr>
          <w:rFonts w:ascii="Calibri" w:cs="Arial" w:hAnsi="Calibri"/>
          <w:b/>
          <w:bCs/>
          <w:color w:val="000000"/>
          <w:sz w:val="22"/>
          <w:szCs w:val="22"/>
        </w:rPr>
      </w:r>
    </w:p>
    <w:p>
      <w:pPr>
        <w:pStyle w:val="style59"/>
        <w:jc w:val="center"/>
        <w:rPr>
          <w:rFonts w:ascii="Calibri" w:cs="Arial" w:hAnsi="Calibri"/>
          <w:b/>
          <w:bCs/>
          <w:color w:val="000000"/>
          <w:sz w:val="22"/>
          <w:szCs w:val="22"/>
        </w:rPr>
      </w:pPr>
      <w:r>
        <w:rPr>
          <w:rFonts w:ascii="Calibri" w:cs="Arial" w:hAnsi="Calibri"/>
          <w:b/>
          <w:bCs/>
          <w:color w:val="000000"/>
          <w:sz w:val="22"/>
          <w:szCs w:val="22"/>
        </w:rPr>
        <w:t>OSVALDO MARTINS CAPELANI</w:t>
      </w:r>
    </w:p>
    <w:p>
      <w:pPr>
        <w:pStyle w:val="style59"/>
        <w:jc w:val="center"/>
        <w:rPr>
          <w:rFonts w:ascii="Calibri" w:cs="Arial" w:hAnsi="Calibri"/>
          <w:b/>
          <w:bCs/>
          <w:color w:val="000000"/>
          <w:sz w:val="22"/>
          <w:szCs w:val="22"/>
        </w:rPr>
      </w:pPr>
      <w:r>
        <w:rPr>
          <w:rFonts w:ascii="Calibri" w:cs="Arial" w:hAnsi="Calibri"/>
          <w:b/>
          <w:bCs/>
          <w:color w:val="000000"/>
          <w:sz w:val="22"/>
          <w:szCs w:val="22"/>
        </w:rPr>
        <w:t>Coordenador de Tecnologia da Informação</w:t>
      </w:r>
    </w:p>
    <w:p>
      <w:pPr>
        <w:pStyle w:val="style59"/>
        <w:jc w:val="center"/>
        <w:rPr>
          <w:rFonts w:ascii="Calibri" w:cs="Arial" w:hAnsi="Calibri"/>
          <w:color w:val="000000"/>
          <w:sz w:val="22"/>
          <w:szCs w:val="22"/>
        </w:rPr>
      </w:pPr>
      <w:r>
        <w:rPr>
          <w:rFonts w:ascii="Calibri" w:cs="Arial" w:hAnsi="Calibri"/>
          <w:color w:val="000000"/>
          <w:sz w:val="22"/>
          <w:szCs w:val="22"/>
        </w:rPr>
      </w:r>
    </w:p>
    <w:p>
      <w:pPr>
        <w:pStyle w:val="style59"/>
        <w:jc w:val="center"/>
        <w:rPr>
          <w:rFonts w:ascii="Calibri" w:cs="Arial" w:hAnsi="Calibri"/>
          <w:b/>
          <w:color w:val="000000"/>
          <w:sz w:val="22"/>
          <w:szCs w:val="22"/>
        </w:rPr>
      </w:pPr>
      <w:r>
        <w:rPr>
          <w:rFonts w:ascii="Calibri" w:cs="Arial" w:hAnsi="Calibri"/>
          <w:b/>
          <w:color w:val="000000"/>
          <w:sz w:val="22"/>
          <w:szCs w:val="22"/>
        </w:rPr>
        <w:t>FRANCIELLY KAROLINE AIRES CARLINI</w:t>
      </w:r>
    </w:p>
    <w:p>
      <w:pPr>
        <w:pStyle w:val="style59"/>
        <w:jc w:val="center"/>
        <w:rPr>
          <w:rFonts w:ascii="Calibri" w:cs="Arial" w:hAnsi="Calibri"/>
          <w:b/>
          <w:bCs/>
          <w:color w:val="000000"/>
          <w:sz w:val="22"/>
          <w:szCs w:val="22"/>
        </w:rPr>
      </w:pPr>
      <w:r>
        <w:rPr>
          <w:rFonts w:ascii="Calibri" w:cs="Arial" w:hAnsi="Calibri"/>
          <w:b/>
          <w:bCs/>
          <w:color w:val="000000"/>
          <w:sz w:val="22"/>
          <w:szCs w:val="22"/>
        </w:rPr>
        <w:t>Diretora de Administração e Planejamento</w:t>
      </w:r>
    </w:p>
    <w:p>
      <w:pPr>
        <w:pStyle w:val="style0"/>
        <w:jc w:val="center"/>
        <w:rPr>
          <w:rFonts w:ascii="Calibri" w:cs="Arial" w:hAnsi="Calibri"/>
          <w:color w:val="000000"/>
          <w:sz w:val="22"/>
          <w:szCs w:val="22"/>
        </w:rPr>
      </w:pPr>
      <w:r>
        <w:rPr>
          <w:rFonts w:ascii="Calibri" w:cs="Arial" w:hAnsi="Calibri"/>
          <w:color w:val="000000"/>
          <w:sz w:val="22"/>
          <w:szCs w:val="22"/>
        </w:rPr>
      </w:r>
    </w:p>
    <w:p>
      <w:pPr>
        <w:pStyle w:val="style59"/>
        <w:rPr>
          <w:rFonts w:ascii="Calibri" w:cs="Arial" w:hAnsi="Calibri"/>
          <w:color w:val="000000"/>
          <w:sz w:val="22"/>
          <w:szCs w:val="22"/>
        </w:rPr>
      </w:pPr>
      <w:r>
        <w:rPr>
          <w:rFonts w:ascii="Calibri" w:cs="Arial" w:hAnsi="Calibri"/>
          <w:color w:val="000000"/>
          <w:sz w:val="22"/>
          <w:szCs w:val="22"/>
        </w:rPr>
        <w:t>Aprovo o presente Termo de Referência e autorizo a continuidade do Processo. Desde que se obedeçam as formalidades legais, bem como as estabelecidas neste Termo de Referência.</w:t>
      </w:r>
    </w:p>
    <w:p>
      <w:pPr>
        <w:pStyle w:val="style0"/>
        <w:jc w:val="both"/>
        <w:rPr>
          <w:rFonts w:ascii="Calibri" w:cs="Arial" w:hAnsi="Calibri"/>
          <w:color w:val="000000"/>
          <w:sz w:val="22"/>
          <w:szCs w:val="22"/>
        </w:rPr>
      </w:pPr>
      <w:r>
        <w:rPr>
          <w:rFonts w:ascii="Calibri" w:cs="Arial" w:hAnsi="Calibri"/>
          <w:color w:val="000000"/>
          <w:sz w:val="22"/>
          <w:szCs w:val="22"/>
        </w:rPr>
      </w:r>
    </w:p>
    <w:p>
      <w:pPr>
        <w:pStyle w:val="style0"/>
        <w:jc w:val="both"/>
        <w:rPr>
          <w:rFonts w:ascii="Calibri" w:cs="Arial" w:hAnsi="Calibri"/>
          <w:color w:val="000000"/>
          <w:sz w:val="22"/>
          <w:szCs w:val="22"/>
        </w:rPr>
      </w:pPr>
      <w:r>
        <w:rPr>
          <w:rFonts w:ascii="Calibri" w:cs="Arial" w:hAnsi="Calibri"/>
          <w:color w:val="000000"/>
          <w:sz w:val="22"/>
          <w:szCs w:val="22"/>
        </w:rPr>
        <w:t>Em, ______/______/_____</w:t>
      </w:r>
    </w:p>
    <w:p>
      <w:pPr>
        <w:pStyle w:val="style59"/>
        <w:jc w:val="center"/>
        <w:rPr>
          <w:rFonts w:ascii="Calibri" w:cs="Arial" w:hAnsi="Calibri"/>
          <w:color w:val="000000"/>
          <w:sz w:val="22"/>
          <w:szCs w:val="22"/>
        </w:rPr>
      </w:pPr>
      <w:r>
        <w:rPr>
          <w:rFonts w:ascii="Calibri" w:cs="Arial" w:hAnsi="Calibri"/>
          <w:color w:val="000000"/>
          <w:sz w:val="22"/>
          <w:szCs w:val="22"/>
        </w:rPr>
      </w:r>
    </w:p>
    <w:p>
      <w:pPr>
        <w:pStyle w:val="style59"/>
        <w:jc w:val="center"/>
        <w:rPr>
          <w:rFonts w:ascii="Calibri" w:cs="Arial" w:hAnsi="Calibri"/>
          <w:b/>
          <w:bCs/>
          <w:color w:val="000000"/>
          <w:sz w:val="22"/>
          <w:szCs w:val="22"/>
        </w:rPr>
      </w:pPr>
      <w:r>
        <w:rPr>
          <w:rFonts w:ascii="Calibri" w:cs="Arial" w:hAnsi="Calibri"/>
          <w:b/>
          <w:bCs/>
          <w:color w:val="000000"/>
          <w:sz w:val="22"/>
          <w:szCs w:val="22"/>
        </w:rPr>
        <w:t>LIVIO DOS SANTOS WOGEL</w:t>
      </w:r>
    </w:p>
    <w:p>
      <w:pPr>
        <w:pStyle w:val="style0"/>
        <w:spacing w:after="360" w:before="0"/>
        <w:ind w:hanging="0" w:left="360" w:right="0"/>
        <w:contextualSpacing w:val="false"/>
        <w:jc w:val="center"/>
        <w:rPr>
          <w:rFonts w:ascii="Calibri" w:cs="Arial" w:hAnsi="Calibri"/>
          <w:b/>
          <w:bCs/>
          <w:color w:val="000000"/>
          <w:sz w:val="22"/>
          <w:szCs w:val="22"/>
        </w:rPr>
      </w:pPr>
      <w:r>
        <w:rPr>
          <w:rFonts w:ascii="Calibri" w:cs="Arial" w:hAnsi="Calibri"/>
          <w:b/>
          <w:bCs/>
          <w:color w:val="000000"/>
          <w:sz w:val="22"/>
          <w:szCs w:val="22"/>
        </w:rPr>
        <w:t>Diretor-Geral IFMT – Campus São Vicente</w:t>
      </w:r>
    </w:p>
    <w:p>
      <w:pPr>
        <w:pStyle w:val="style0"/>
        <w:spacing w:after="360" w:before="0"/>
        <w:ind w:hanging="0" w:left="360" w:right="0"/>
        <w:contextualSpacing w:val="false"/>
        <w:rPr>
          <w:rFonts w:ascii="Calibri" w:cs="Arial" w:hAnsi="Calibri"/>
          <w:color w:val="000000"/>
          <w:sz w:val="22"/>
          <w:szCs w:val="22"/>
        </w:rPr>
      </w:pPr>
      <w:r>
        <w:rPr>
          <w:rFonts w:ascii="Calibri" w:cs="Arial" w:hAnsi="Calibri"/>
          <w:color w:val="000000"/>
          <w:sz w:val="22"/>
          <w:szCs w:val="22"/>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sectPr>
      <w:footerReference r:id="rId3"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72"/>
      <w:rPr>
        <w:rFonts w:ascii="Times New Roman" w:cs="Times New Roman" w:hAnsi="Times New Roman"/>
      </w:rPr>
    </w:pPr>
    <w:r>
      <w:rPr>
        <w:rFonts w:ascii="Times New Roman" w:cs="Times New Roman" w:hAnsi="Times New Roman"/>
      </w:rPr>
      <w:t>__________________________________________________________________</w:t>
    </w:r>
  </w:p>
  <w:p>
    <w:pPr>
      <w:pStyle w:val="style72"/>
      <w:rPr>
        <w:rFonts w:cs="Arial"/>
        <w:sz w:val="12"/>
        <w:szCs w:val="12"/>
      </w:rPr>
    </w:pPr>
    <w:r>
      <w:rPr>
        <w:rFonts w:cs="Arial"/>
        <w:sz w:val="12"/>
        <w:szCs w:val="12"/>
      </w:rPr>
      <w:t>Comissão Permanente de Atualização de Editais da Consultoria-Geral da União</w:t>
    </w:r>
  </w:p>
  <w:p>
    <w:pPr>
      <w:pStyle w:val="style72"/>
      <w:rPr>
        <w:rFonts w:cs="Arial"/>
        <w:sz w:val="12"/>
        <w:szCs w:val="12"/>
      </w:rPr>
    </w:pPr>
    <w:r>
      <w:rPr>
        <w:rFonts w:cs="Arial"/>
        <w:sz w:val="12"/>
        <w:szCs w:val="12"/>
      </w:rPr>
      <w:t>Termo de Referência - Modelo para SRP Pregão Eletrônico – Compras</w:t>
    </w:r>
  </w:p>
  <w:p>
    <w:pPr>
      <w:pStyle w:val="style72"/>
      <w:rPr>
        <w:rFonts w:cs="Arial"/>
        <w:sz w:val="12"/>
        <w:szCs w:val="12"/>
      </w:rPr>
    </w:pPr>
    <w:r>
      <w:rPr>
        <w:rFonts w:cs="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b/>
      </w:rPr>
    </w:lvl>
    <w:lvl w:ilvl="1">
      <w:start w:val="1"/>
      <w:numFmt w:val="decimal"/>
      <w:lvlText w:val="%1.%2."/>
      <w:lvlJc w:val="left"/>
      <w:pPr>
        <w:ind w:hanging="432" w:left="1142"/>
      </w:pPr>
      <w:rPr>
        <w:color w:val="00000A"/>
        <w:i w:val="false"/>
        <w:b w:val="false"/>
      </w:rPr>
    </w:lvl>
    <w:lvl w:ilvl="2">
      <w:start w:val="1"/>
      <w:numFmt w:val="decimal"/>
      <w:lvlText w:val="%1.%2.%3."/>
      <w:lvlJc w:val="left"/>
      <w:pPr>
        <w:ind w:hanging="504" w:left="1639"/>
      </w:pPr>
      <w:rPr>
        <w:color w:val="00000A"/>
        <w:i w:val="false"/>
        <w:b w:val="false"/>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15"/>
  <w:defaultTabStop w:val="708"/>
</w:settings>
</file>

<file path=word/styles.xml><?xml version="1.0" encoding="utf-8"?>
<w:styles xmlns:w="http://schemas.openxmlformats.org/wordprocessingml/2006/main">
  <w:style w:styleId="style0" w:type="paragraph">
    <w:name w:val="Normal"/>
    <w:next w:val="style0"/>
    <w:pPr>
      <w:widowControl/>
      <w:suppressAutoHyphens w:val="true"/>
    </w:pPr>
    <w:rPr>
      <w:rFonts w:ascii="Arial" w:cs="Tahoma" w:eastAsia="Times New Roman" w:hAnsi="Arial"/>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Grade Colorida - Ênfase 1 Char"/>
    <w:next w:val="style21"/>
    <w:rPr>
      <w:rFonts w:ascii="Ecofont_Spranq_eco_Sans" w:cs="Tahoma" w:eastAsia="Calibri" w:hAnsi="Ecofont_Spranq_eco_Sans"/>
      <w:i/>
      <w:iCs/>
      <w:color w:val="000000"/>
      <w:szCs w:val="24"/>
      <w:shd w:fill="FFFFCC" w:val="clear"/>
      <w:lang w:eastAsia="en-US"/>
    </w:rPr>
  </w:style>
  <w:style w:styleId="style22" w:type="character">
    <w:name w:val="citação 2 Char"/>
    <w:basedOn w:val="style21"/>
    <w:next w:val="style22"/>
    <w:rPr>
      <w:rFonts w:ascii="Ecofont_Spranq_eco_Sans" w:cs="Tahoma" w:eastAsia="Calibri" w:hAnsi="Ecofont_Spranq_eco_Sans"/>
      <w:i/>
      <w:iCs/>
      <w:color w:val="000000"/>
      <w:szCs w:val="24"/>
      <w:shd w:fill="FFFFCC" w:val="clear"/>
      <w:lang w:eastAsia="en-US"/>
    </w:rPr>
  </w:style>
  <w:style w:styleId="style23" w:type="character">
    <w:name w:val="Quote Char"/>
    <w:basedOn w:val="style15"/>
    <w:next w:val="style23"/>
    <w:rPr>
      <w:rFonts w:ascii="Ecofont_Spranq_eco_Sans" w:eastAsia="Calibri" w:hAnsi="Ecofont_Spranq_eco_Sans"/>
      <w:i/>
      <w:iCs/>
      <w:color w:val="000000"/>
      <w:szCs w:val="24"/>
      <w:shd w:fill="FFFFCC" w:val="clear"/>
      <w:lang w:eastAsia="en-US" w:val="pt-BR"/>
    </w:rPr>
  </w:style>
  <w:style w:styleId="style24" w:type="character">
    <w:name w:val="Header Char"/>
    <w:basedOn w:val="style15"/>
    <w:next w:val="style24"/>
    <w:rPr>
      <w:rFonts w:ascii="Ecofont_Spranq_eco_Sans" w:cs="Tahoma" w:hAnsi="Ecofont_Spranq_eco_Sans"/>
      <w:sz w:val="24"/>
      <w:szCs w:val="24"/>
    </w:rPr>
  </w:style>
  <w:style w:styleId="style25" w:type="character">
    <w:name w:val="Footer Char"/>
    <w:basedOn w:val="style15"/>
    <w:next w:val="style25"/>
    <w:rPr>
      <w:rFonts w:ascii="Ecofont_Spranq_eco_Sans" w:cs="Tahoma" w:hAnsi="Ecofont_Spranq_eco_Sans"/>
      <w:sz w:val="24"/>
      <w:szCs w:val="24"/>
    </w:rPr>
  </w:style>
  <w:style w:styleId="style26" w:type="character">
    <w:name w:val="Heading 1 Char"/>
    <w:basedOn w:val="style15"/>
    <w:next w:val="style26"/>
    <w:rPr>
      <w:rFonts w:ascii="Cambria" w:cs="" w:hAnsi="Cambria"/>
      <w:color w:val="365F91"/>
      <w:sz w:val="32"/>
      <w:szCs w:val="32"/>
    </w:rPr>
  </w:style>
  <w:style w:styleId="style27" w:type="character">
    <w:name w:val="annotation reference"/>
    <w:basedOn w:val="style15"/>
    <w:next w:val="style27"/>
    <w:rPr>
      <w:sz w:val="18"/>
      <w:szCs w:val="18"/>
    </w:rPr>
  </w:style>
  <w:style w:styleId="style28" w:type="character">
    <w:name w:val="Comment Text Char"/>
    <w:basedOn w:val="style15"/>
    <w:next w:val="style28"/>
    <w:rPr>
      <w:rFonts w:ascii="Arial" w:cs="Tahoma" w:hAnsi="Arial"/>
      <w:sz w:val="24"/>
      <w:szCs w:val="24"/>
    </w:rPr>
  </w:style>
  <w:style w:styleId="style29" w:type="character">
    <w:name w:val="ListLabel 1"/>
    <w:next w:val="style29"/>
    <w:rPr>
      <w:b/>
    </w:rPr>
  </w:style>
  <w:style w:styleId="style30" w:type="character">
    <w:name w:val="ListLabel 2"/>
    <w:next w:val="style30"/>
    <w:rPr>
      <w:b w:val="false"/>
      <w:i w:val="false"/>
      <w:color w:val="00000A"/>
    </w:rPr>
  </w:style>
  <w:style w:styleId="style31" w:type="character">
    <w:name w:val="ListLabel 3"/>
    <w:next w:val="style31"/>
    <w:rPr>
      <w:rFonts w:eastAsia="Arial Unicode MS"/>
    </w:rPr>
  </w:style>
  <w:style w:styleId="style32" w:type="character">
    <w:name w:val="ListLabel 4"/>
    <w:next w:val="style32"/>
    <w:rPr>
      <w:rFonts w:cs="Arial"/>
      <w:i/>
      <w:color w:val="FF0000"/>
    </w:rPr>
  </w:style>
  <w:style w:styleId="style33" w:type="character">
    <w:name w:val="ListLabel 5"/>
    <w:next w:val="style33"/>
    <w:rPr>
      <w:color w:val="0000FF"/>
    </w:rPr>
  </w:style>
  <w:style w:styleId="style34" w:type="character">
    <w:name w:val="ListLabel 6"/>
    <w:next w:val="style34"/>
    <w:rPr>
      <w:b w:val="false"/>
    </w:rPr>
  </w:style>
  <w:style w:styleId="style35" w:type="character">
    <w:name w:val="ListLabel 7"/>
    <w:next w:val="style35"/>
    <w:rPr>
      <w:b/>
      <w:i w:val="false"/>
    </w:rPr>
  </w:style>
  <w:style w:styleId="style36" w:type="character">
    <w:name w:val="ListLabel 8"/>
    <w:next w:val="style36"/>
    <w:rPr>
      <w:b/>
      <w:i w:val="false"/>
      <w:color w:val="00000A"/>
    </w:rPr>
  </w:style>
  <w:style w:styleId="style37" w:type="character">
    <w:name w:val="ListLabel 9"/>
    <w:next w:val="style37"/>
    <w:rPr>
      <w:b w:val="false"/>
      <w:i w:val="false"/>
    </w:rPr>
  </w:style>
  <w:style w:styleId="style38" w:type="character">
    <w:name w:val="ListLabel 10"/>
    <w:next w:val="style38"/>
    <w:rPr>
      <w:rFonts w:cs="Courier New"/>
    </w:rPr>
  </w:style>
  <w:style w:styleId="style39" w:type="character">
    <w:name w:val="ListLabel 11"/>
    <w:next w:val="style39"/>
    <w:rPr>
      <w:b/>
    </w:rPr>
  </w:style>
  <w:style w:styleId="style40" w:type="character">
    <w:name w:val="ListLabel 12"/>
    <w:next w:val="style40"/>
    <w:rPr>
      <w:b w:val="false"/>
      <w:i w:val="false"/>
      <w:color w:val="00000A"/>
    </w:rPr>
  </w:style>
  <w:style w:styleId="style41" w:type="character">
    <w:name w:val="ListLabel 13"/>
    <w:next w:val="style41"/>
    <w:rPr>
      <w:rFonts w:cs="Symbol"/>
    </w:rPr>
  </w:style>
  <w:style w:styleId="style42" w:type="character">
    <w:name w:val="ListLabel 14"/>
    <w:next w:val="style42"/>
    <w:rPr>
      <w:b/>
    </w:rPr>
  </w:style>
  <w:style w:styleId="style43" w:type="character">
    <w:name w:val="ListLabel 15"/>
    <w:next w:val="style43"/>
    <w:rPr>
      <w:b w:val="false"/>
      <w:i w:val="false"/>
      <w:color w:val="00000A"/>
    </w:rPr>
  </w:style>
  <w:style w:styleId="style44" w:type="character">
    <w:name w:val="ListLabel 16"/>
    <w:next w:val="style44"/>
    <w:rPr>
      <w:b/>
    </w:rPr>
  </w:style>
  <w:style w:styleId="style45" w:type="character">
    <w:name w:val="ListLabel 17"/>
    <w:next w:val="style45"/>
    <w:rPr>
      <w:b w:val="false"/>
      <w:i w:val="false"/>
      <w:color w:val="00000A"/>
    </w:rPr>
  </w:style>
  <w:style w:styleId="style46" w:type="character">
    <w:name w:val="ListLabel 18"/>
    <w:next w:val="style46"/>
    <w:rPr>
      <w:b/>
    </w:rPr>
  </w:style>
  <w:style w:styleId="style47" w:type="character">
    <w:name w:val="ListLabel 19"/>
    <w:next w:val="style47"/>
    <w:rPr>
      <w:b w:val="false"/>
      <w:i w:val="false"/>
      <w:color w:val="00000A"/>
    </w:rPr>
  </w:style>
  <w:style w:styleId="style48" w:type="character">
    <w:name w:val="ListLabel 20"/>
    <w:next w:val="style48"/>
    <w:rPr>
      <w:b/>
    </w:rPr>
  </w:style>
  <w:style w:styleId="style49" w:type="character">
    <w:name w:val="ListLabel 21"/>
    <w:next w:val="style49"/>
    <w:rPr>
      <w:b w:val="false"/>
      <w:i w:val="false"/>
      <w:color w:val="00000A"/>
    </w:rPr>
  </w:style>
  <w:style w:styleId="style50" w:type="character">
    <w:name w:val="ListLabel 22"/>
    <w:next w:val="style50"/>
    <w:rPr>
      <w:b/>
    </w:rPr>
  </w:style>
  <w:style w:styleId="style51" w:type="character">
    <w:name w:val="ListLabel 23"/>
    <w:next w:val="style51"/>
    <w:rPr>
      <w:b w:val="false"/>
      <w:i w:val="false"/>
      <w:color w:val="00000A"/>
    </w:rPr>
  </w:style>
  <w:style w:styleId="style52" w:type="character">
    <w:name w:val="ListLabel 24"/>
    <w:next w:val="style52"/>
    <w:rPr>
      <w:b/>
    </w:rPr>
  </w:style>
  <w:style w:styleId="style53" w:type="character">
    <w:name w:val="ListLabel 25"/>
    <w:next w:val="style53"/>
    <w:rPr>
      <w:b w:val="false"/>
      <w:i w:val="false"/>
      <w:color w:val="00000A"/>
    </w:rPr>
  </w:style>
  <w:style w:styleId="style54" w:type="character">
    <w:name w:val="ListLabel 26"/>
    <w:next w:val="style54"/>
    <w:rPr>
      <w:b/>
    </w:rPr>
  </w:style>
  <w:style w:styleId="style55" w:type="character">
    <w:name w:val="ListLabel 27"/>
    <w:next w:val="style55"/>
    <w:rPr>
      <w:b w:val="false"/>
      <w:i w:val="false"/>
      <w:color w:val="00000A"/>
    </w:rPr>
  </w:style>
  <w:style w:styleId="style56" w:type="character">
    <w:name w:val="ListLabel 28"/>
    <w:next w:val="style56"/>
    <w:rPr>
      <w:b/>
    </w:rPr>
  </w:style>
  <w:style w:styleId="style57" w:type="character">
    <w:name w:val="ListLabel 29"/>
    <w:next w:val="style57"/>
    <w:rPr>
      <w:b w:val="false"/>
      <w:i w:val="false"/>
      <w:color w:val="00000A"/>
    </w:rPr>
  </w:style>
  <w:style w:styleId="style58" w:type="paragraph">
    <w:name w:val="Título"/>
    <w:basedOn w:val="style0"/>
    <w:next w:val="style59"/>
    <w:pPr>
      <w:keepNext/>
      <w:spacing w:after="120" w:before="240"/>
      <w:contextualSpacing w:val="false"/>
    </w:pPr>
    <w:rPr>
      <w:rFonts w:ascii="Arial" w:cs="Mangal" w:eastAsia="Microsoft YaHei" w:hAnsi="Arial"/>
      <w:sz w:val="28"/>
      <w:szCs w:val="28"/>
    </w:rPr>
  </w:style>
  <w:style w:styleId="style59" w:type="paragraph">
    <w:name w:val="Corpo do texto"/>
    <w:basedOn w:val="style0"/>
    <w:next w:val="style59"/>
    <w:pPr>
      <w:spacing w:after="120" w:before="0"/>
      <w:contextualSpacing w:val="false"/>
    </w:pPr>
    <w:rPr/>
  </w:style>
  <w:style w:styleId="style60" w:type="paragraph">
    <w:name w:val="Lista"/>
    <w:basedOn w:val="style59"/>
    <w:next w:val="style60"/>
    <w:pPr/>
    <w:rPr>
      <w:rFonts w:cs="Mangal"/>
    </w:rPr>
  </w:style>
  <w:style w:styleId="style61" w:type="paragraph">
    <w:name w:val="Legenda"/>
    <w:basedOn w:val="style0"/>
    <w:next w:val="style61"/>
    <w:pPr>
      <w:suppressLineNumbers/>
      <w:spacing w:after="120" w:before="120"/>
      <w:contextualSpacing w:val="false"/>
    </w:pPr>
    <w:rPr>
      <w:rFonts w:cs="Mangal"/>
      <w:i/>
      <w:iCs/>
      <w:sz w:val="24"/>
      <w:szCs w:val="24"/>
    </w:rPr>
  </w:style>
  <w:style w:styleId="style62" w:type="paragraph">
    <w:name w:val="Índice"/>
    <w:basedOn w:val="style0"/>
    <w:next w:val="style62"/>
    <w:pPr>
      <w:suppressLineNumbers/>
    </w:pPr>
    <w:rPr>
      <w:rFonts w:cs="Mangal"/>
    </w:rPr>
  </w:style>
  <w:style w:styleId="style63" w:type="paragraph">
    <w:name w:val="Lista Colorida - Ênfase 11"/>
    <w:basedOn w:val="style0"/>
    <w:next w:val="style63"/>
    <w:pPr>
      <w:spacing w:after="0" w:before="0"/>
      <w:ind w:hanging="0" w:left="720" w:right="0"/>
      <w:contextualSpacing/>
    </w:pPr>
    <w:rPr/>
  </w:style>
  <w:style w:styleId="style64" w:type="paragraph">
    <w:name w:val="Normal (Web)"/>
    <w:basedOn w:val="style0"/>
    <w:next w:val="style64"/>
    <w:pPr>
      <w:spacing w:after="28" w:before="28"/>
      <w:contextualSpacing w:val="false"/>
    </w:pPr>
    <w:rPr>
      <w:rFonts w:ascii="Times New Roman" w:cs="Times New Roman" w:hAnsi="Times New Roman"/>
    </w:rPr>
  </w:style>
  <w:style w:styleId="style65" w:type="paragraph">
    <w:name w:val="Balloon Text"/>
    <w:basedOn w:val="style0"/>
    <w:next w:val="style65"/>
    <w:pPr/>
    <w:rPr>
      <w:rFonts w:ascii="Tahoma" w:hAnsi="Tahoma"/>
      <w:sz w:val="16"/>
      <w:szCs w:val="16"/>
    </w:rPr>
  </w:style>
  <w:style w:styleId="style66" w:type="paragraph">
    <w:name w:val="Nível 2"/>
    <w:basedOn w:val="style0"/>
    <w:next w:val="style66"/>
    <w:pPr>
      <w:spacing w:after="120" w:before="0"/>
      <w:contextualSpacing w:val="false"/>
      <w:jc w:val="both"/>
    </w:pPr>
    <w:rPr>
      <w:rFonts w:cs="Times New Roman"/>
      <w:b/>
      <w:szCs w:val="20"/>
    </w:rPr>
  </w:style>
  <w:style w:styleId="style67" w:type="paragraph">
    <w:name w:val="Grade Colorida - Ênfase 11"/>
    <w:basedOn w:val="style0"/>
    <w:next w:val="style67"/>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eastAsia="Calibri"/>
      <w:i/>
      <w:iCs/>
      <w:color w:val="000000"/>
      <w:sz w:val="20"/>
      <w:lang w:eastAsia="en-US"/>
    </w:rPr>
  </w:style>
  <w:style w:styleId="style68" w:type="paragraph">
    <w:name w:val="List Bullet 5"/>
    <w:basedOn w:val="style0"/>
    <w:next w:val="style68"/>
    <w:pPr>
      <w:spacing w:after="0" w:before="0"/>
      <w:contextualSpacing/>
    </w:pPr>
    <w:rPr/>
  </w:style>
  <w:style w:styleId="style69" w:type="paragraph">
    <w:name w:val="citação 2"/>
    <w:basedOn w:val="style67"/>
    <w:next w:val="style69"/>
    <w:pPr/>
    <w:rPr>
      <w:szCs w:val="20"/>
    </w:rPr>
  </w:style>
  <w:style w:styleId="style70" w:type="paragraph">
    <w:name w:val="Quote"/>
    <w:basedOn w:val="style0"/>
    <w:next w:val="style70"/>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cs="Times New Roman" w:eastAsia="Calibri"/>
      <w:i/>
      <w:iCs/>
      <w:color w:val="000000"/>
      <w:sz w:val="20"/>
      <w:lang w:eastAsia="en-US" w:val="pt-BR"/>
    </w:rPr>
  </w:style>
  <w:style w:styleId="style71" w:type="paragraph">
    <w:name w:val="Cabeçalho"/>
    <w:basedOn w:val="style0"/>
    <w:next w:val="style71"/>
    <w:pPr>
      <w:tabs>
        <w:tab w:leader="none" w:pos="4252" w:val="center"/>
        <w:tab w:leader="none" w:pos="8504" w:val="right"/>
      </w:tabs>
    </w:pPr>
    <w:rPr/>
  </w:style>
  <w:style w:styleId="style72" w:type="paragraph">
    <w:name w:val="Rodapé"/>
    <w:basedOn w:val="style0"/>
    <w:next w:val="style72"/>
    <w:pPr>
      <w:tabs>
        <w:tab w:leader="none" w:pos="4252" w:val="center"/>
        <w:tab w:leader="none" w:pos="8504" w:val="right"/>
      </w:tabs>
    </w:pPr>
    <w:rPr/>
  </w:style>
  <w:style w:styleId="style73" w:type="paragraph">
    <w:name w:val="List Paragraph"/>
    <w:basedOn w:val="style0"/>
    <w:next w:val="style73"/>
    <w:pPr>
      <w:spacing w:after="0" w:before="0"/>
      <w:ind w:hanging="0" w:left="720" w:right="0"/>
      <w:contextualSpacing/>
    </w:pPr>
    <w:rPr/>
  </w:style>
  <w:style w:styleId="style74" w:type="paragraph">
    <w:name w:val="Nivel1"/>
    <w:basedOn w:val="style1"/>
    <w:next w:val="style74"/>
    <w:pPr>
      <w:spacing w:after="120" w:before="480" w:line="276" w:lineRule="auto"/>
      <w:ind w:hanging="357" w:left="357" w:right="0"/>
      <w:contextualSpacing w:val="false"/>
      <w:jc w:val="both"/>
    </w:pPr>
    <w:rPr>
      <w:rFonts w:ascii="Arial" w:cs="Arial" w:hAnsi="Arial"/>
      <w:b/>
      <w:color w:val="000000"/>
      <w:sz w:val="20"/>
      <w:szCs w:val="20"/>
    </w:rPr>
  </w:style>
  <w:style w:styleId="style75" w:type="paragraph">
    <w:name w:val="annotation text"/>
    <w:basedOn w:val="style0"/>
    <w:next w:val="style75"/>
    <w:pPr/>
    <w:rPr/>
  </w:style>
  <w:style w:styleId="style76" w:type="paragraph">
    <w:name w:val="Conteúdo do quadro"/>
    <w:basedOn w:val="style0"/>
    <w:next w:val="style76"/>
    <w:pPr/>
    <w:rPr/>
  </w:style>
  <w:style w:styleId="style77" w:type="paragraph">
    <w:name w:val="Conteúdo da tabela"/>
    <w:basedOn w:val="style0"/>
    <w:next w:val="style77"/>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D:\adriano.carrijo\Documents\adriano\GT ONs\Modelos fechados\TR compras.dotx</Template>
  <TotalTime>122</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2013-05-01T13:10:00Z</dcterms:created>
  <dc:creator>Adriano</dc:creator>
  <cp:lastModifiedBy>Manoel Paz e Silva Filho</cp:lastModifiedBy>
  <cp:lastPrinted>2016-12-06T16:31:12Z</cp:lastPrinted>
  <dcterms:modified xsi:type="dcterms:W3CDTF">2016-06-10T16:46:00Z</dcterms:modified>
  <cp:revision>8</cp:revision>
  <dc:title>NOTAS EXPLICATIVAS</dc:title>
</cp:coreProperties>
</file>