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rPr/>
      </w:pPr>
      <w:r>
        <w:rPr/>
        <w:drawing>
          <wp:inline distB="0" distL="0" distR="0" distT="0">
            <wp:extent cx="668020" cy="615315"/>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68020" cy="615315"/>
                    </a:xfrm>
                    <a:prstGeom prst="rect">
                      <a:avLst/>
                    </a:prstGeom>
                    <a:noFill/>
                    <a:ln w="9525">
                      <a:noFill/>
                      <a:miter lim="800000"/>
                      <a:headEnd/>
                      <a:tailEnd/>
                    </a:ln>
                  </pic:spPr>
                </pic:pic>
              </a:graphicData>
            </a:graphic>
          </wp:inline>
        </w:drawing>
      </w:r>
    </w:p>
    <w:p>
      <w:pPr>
        <w:pStyle w:val="style0"/>
        <w:jc w:val="center"/>
        <w:rPr>
          <w:rFonts w:ascii="Calibri" w:cs="Arial" w:hAnsi="Calibri"/>
          <w:b/>
          <w:i w:val="false"/>
          <w:iCs w:val="false"/>
          <w:color w:val="000000"/>
          <w:sz w:val="22"/>
          <w:szCs w:val="22"/>
        </w:rPr>
      </w:pPr>
      <w:r>
        <w:rPr>
          <w:rFonts w:ascii="Calibri" w:cs="Arial" w:hAnsi="Calibri"/>
          <w:b/>
          <w:i w:val="false"/>
          <w:iCs w:val="false"/>
          <w:color w:val="000000"/>
          <w:sz w:val="22"/>
          <w:szCs w:val="22"/>
        </w:rPr>
        <w:t>SERVIÇO PÚBLICO FEDERAL</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 xml:space="preserve">INSTITUTO FEDERAL DE EDUCAÇÃO, CIÊNCIA E TECNOLOGIA DE MATO GROSSO </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CAMPUS SÃO VICENTE</w:t>
      </w:r>
    </w:p>
    <w:p>
      <w:pPr>
        <w:pStyle w:val="style0"/>
        <w:jc w:val="center"/>
        <w:rPr>
          <w:color w:val="000000"/>
        </w:rPr>
      </w:pPr>
      <w:r>
        <w:rPr>
          <w:color w:val="000000"/>
        </w:rPr>
      </w:r>
    </w:p>
    <w:p>
      <w:pPr>
        <w:pStyle w:val="style0"/>
        <w:jc w:val="center"/>
        <w:rPr>
          <w:rFonts w:ascii="Arial" w:cs="Arial" w:hAnsi="Arial"/>
          <w:b/>
          <w:bCs/>
          <w:color w:val="000000"/>
          <w:sz w:val="20"/>
          <w:szCs w:val="20"/>
        </w:rPr>
      </w:pPr>
      <w:r>
        <w:rPr>
          <w:rFonts w:ascii="Arial" w:cs="Arial" w:hAnsi="Arial"/>
          <w:b/>
          <w:bCs/>
          <w:color w:val="000000"/>
          <w:sz w:val="20"/>
          <w:szCs w:val="20"/>
        </w:rPr>
        <w:t>PREGÃO ELETRÔNICO</w:t>
      </w:r>
    </w:p>
    <w:p>
      <w:pPr>
        <w:pStyle w:val="style0"/>
        <w:jc w:val="center"/>
        <w:rPr>
          <w:rFonts w:ascii="Arial" w:cs="Arial" w:hAnsi="Arial"/>
          <w:b/>
          <w:bCs/>
          <w:color w:val="000000"/>
          <w:sz w:val="20"/>
          <w:szCs w:val="20"/>
        </w:rPr>
      </w:pPr>
      <w:r>
        <w:rPr>
          <w:rFonts w:ascii="Arial" w:cs="Arial" w:hAnsi="Arial"/>
          <w:b/>
          <w:bCs/>
          <w:color w:val="000000"/>
          <w:sz w:val="20"/>
          <w:szCs w:val="20"/>
        </w:rPr>
        <w:t>SISTEMA DE REGISTRO DE PREÇOS</w:t>
      </w:r>
    </w:p>
    <w:p>
      <w:pPr>
        <w:pStyle w:val="style0"/>
        <w:jc w:val="center"/>
        <w:rPr>
          <w:rFonts w:ascii="Arial" w:cs="Arial" w:hAnsi="Arial"/>
          <w:b/>
          <w:bCs/>
          <w:i/>
          <w:color w:val="000000"/>
          <w:sz w:val="20"/>
          <w:szCs w:val="20"/>
        </w:rPr>
      </w:pPr>
      <w:r>
        <w:rPr>
          <w:rFonts w:ascii="Arial" w:cs="Arial" w:hAnsi="Arial"/>
          <w:b/>
          <w:bCs/>
          <w:i/>
          <w:color w:val="000000"/>
          <w:sz w:val="20"/>
          <w:szCs w:val="20"/>
        </w:rPr>
      </w:r>
    </w:p>
    <w:p>
      <w:pPr>
        <w:pStyle w:val="style0"/>
        <w:jc w:val="center"/>
        <w:rPr>
          <w:rFonts w:ascii="Arial" w:cs="Arial" w:hAnsi="Arial"/>
          <w:b/>
          <w:bCs/>
          <w:color w:val="000000"/>
          <w:sz w:val="20"/>
          <w:szCs w:val="20"/>
        </w:rPr>
      </w:pPr>
      <w:r>
        <w:rPr>
          <w:rFonts w:ascii="Arial" w:cs="Arial" w:hAnsi="Arial"/>
          <w:b/>
          <w:bCs/>
          <w:color w:val="000000"/>
          <w:sz w:val="20"/>
          <w:szCs w:val="20"/>
        </w:rPr>
        <w:t>PREGÃO ELETRÔNICO Nº 06/2017</w:t>
      </w:r>
    </w:p>
    <w:p>
      <w:pPr>
        <w:pStyle w:val="style0"/>
        <w:jc w:val="center"/>
        <w:rPr>
          <w:rFonts w:ascii="Arial" w:cs="Arial" w:hAnsi="Arial"/>
          <w:bCs/>
          <w:color w:val="000000"/>
          <w:sz w:val="20"/>
          <w:szCs w:val="20"/>
        </w:rPr>
      </w:pPr>
      <w:r>
        <w:rPr>
          <w:rFonts w:ascii="Arial" w:cs="Arial" w:hAnsi="Arial"/>
          <w:bCs/>
          <w:color w:val="000000"/>
          <w:sz w:val="20"/>
          <w:szCs w:val="20"/>
        </w:rPr>
        <w:t>(Processo Administrativo n.° 23197.024540.2016-08)</w:t>
      </w:r>
    </w:p>
    <w:p>
      <w:pPr>
        <w:pStyle w:val="style0"/>
        <w:jc w:val="center"/>
        <w:rPr>
          <w:rFonts w:ascii="Calibri" w:cs="Arial" w:hAnsi="Calibri"/>
          <w:bCs/>
          <w:color w:val="000000"/>
          <w:sz w:val="22"/>
          <w:szCs w:val="22"/>
        </w:rPr>
      </w:pPr>
      <w:r>
        <w:rPr>
          <w:rFonts w:ascii="Calibri" w:cs="Arial" w:hAnsi="Calibri"/>
          <w:bCs/>
          <w:color w:val="000000"/>
          <w:sz w:val="22"/>
          <w:szCs w:val="22"/>
        </w:rPr>
      </w:r>
    </w:p>
    <w:p>
      <w:pPr>
        <w:pStyle w:val="style0"/>
        <w:spacing w:after="120" w:before="0" w:line="276" w:lineRule="auto"/>
        <w:ind w:firstLine="540" w:left="0" w:right="-30"/>
        <w:contextualSpacing w:val="false"/>
        <w:jc w:val="both"/>
        <w:rPr>
          <w:rFonts w:ascii="Calibri" w:cs="Arial" w:hAnsi="Calibri"/>
          <w:b w:val="false"/>
          <w:bCs w:val="false"/>
          <w:color w:val="000000"/>
          <w:sz w:val="22"/>
          <w:szCs w:val="22"/>
        </w:rPr>
      </w:pPr>
      <w:bookmarkStart w:id="0" w:name="__DdeLink__8976_281745214"/>
      <w:r>
        <w:rPr>
          <w:rFonts w:ascii="Calibri" w:cs="Arial" w:hAnsi="Calibri"/>
          <w:b w:val="false"/>
          <w:bCs w:val="false"/>
          <w:iCs/>
          <w:color w:val="000000"/>
          <w:sz w:val="22"/>
          <w:szCs w:val="22"/>
        </w:rPr>
        <w:t>Torna-se público, para conhecimento dos interessados, que o INSTITUTO FEDERAL DE EDUCAÇÃO CIÊNCIA, E TECNOLOGIA DE MATO GROSSO – IFMT -CAMPUS SÃO VICENTE, por meio da Coordenação de Licitação, sediada à Rodovia BR 364, Km 329, Vila de São Vicente da Serra, Município de Santo Antônio do Leverger - MT, realizará licitação para REGISTRO DE PREÇOS, na modalidade PREGÃO, na forma ELETRÔNICA</w:t>
      </w:r>
      <w:bookmarkEnd w:id="0"/>
      <w:r>
        <w:rPr>
          <w:rFonts w:ascii="Calibri" w:cs="Arial" w:hAnsi="Calibri"/>
          <w:b w:val="false"/>
          <w:bCs w:val="false"/>
          <w:iCs/>
          <w:color w:val="000000"/>
          <w:sz w:val="22"/>
          <w:szCs w:val="22"/>
        </w:rPr>
        <w:t>, do tipo menor preço por item</w:t>
      </w:r>
      <w:r>
        <w:rPr>
          <w:rFonts w:ascii="Calibri" w:cs="Arial" w:hAnsi="Calibri"/>
          <w:b w:val="false"/>
          <w:bCs w:val="false"/>
          <w:color w:val="000000"/>
          <w:sz w:val="22"/>
          <w:szCs w:val="22"/>
        </w:rPr>
        <w:t>,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8.538, de 06 de outubro de 2015, aplicando-se, subsidiariamente, a Lei nº 8.666, de 21 de junho de 1993, e as exigências estabelecidas neste Edital.</w:t>
      </w:r>
    </w:p>
    <w:p>
      <w:pPr>
        <w:pStyle w:val="style0"/>
        <w:spacing w:after="120" w:before="0" w:line="276" w:lineRule="auto"/>
        <w:ind w:firstLine="540" w:left="0" w:right="-30"/>
        <w:contextualSpacing w:val="false"/>
        <w:jc w:val="both"/>
        <w:rPr/>
      </w:pPr>
      <w:r>
        <w:rPr/>
      </w:r>
    </w:p>
    <w:p>
      <w:pPr>
        <w:pStyle w:val="style0"/>
        <w:spacing w:line="480" w:lineRule="auto"/>
        <w:rPr>
          <w:rFonts w:ascii="Calibri" w:cs="Arial" w:hAnsi="Calibri"/>
          <w:b/>
          <w:bCs/>
          <w:color w:val="000000"/>
          <w:sz w:val="22"/>
          <w:szCs w:val="22"/>
        </w:rPr>
      </w:pPr>
      <w:r>
        <w:rPr>
          <w:rFonts w:ascii="Calibri" w:cs="Arial" w:hAnsi="Calibri"/>
          <w:b/>
          <w:bCs/>
          <w:color w:val="000000"/>
          <w:sz w:val="22"/>
          <w:szCs w:val="22"/>
        </w:rPr>
        <w:t>Data da sessão: 0</w:t>
      </w:r>
      <w:r>
        <w:rPr>
          <w:rFonts w:ascii="Calibri" w:cs="Arial" w:hAnsi="Calibri"/>
          <w:b/>
          <w:bCs/>
          <w:color w:val="000000"/>
          <w:sz w:val="22"/>
          <w:szCs w:val="22"/>
        </w:rPr>
        <w:t>6</w:t>
      </w:r>
      <w:r>
        <w:rPr>
          <w:rFonts w:ascii="Calibri" w:cs="Arial" w:hAnsi="Calibri"/>
          <w:b/>
          <w:bCs/>
          <w:color w:val="000000"/>
          <w:sz w:val="22"/>
          <w:szCs w:val="22"/>
        </w:rPr>
        <w:t>/09/2017</w:t>
      </w:r>
    </w:p>
    <w:p>
      <w:pPr>
        <w:pStyle w:val="style0"/>
        <w:spacing w:line="480" w:lineRule="auto"/>
        <w:rPr>
          <w:rFonts w:ascii="Calibri" w:cs="Arial" w:hAnsi="Calibri"/>
          <w:b/>
          <w:bCs/>
          <w:color w:val="000000"/>
          <w:sz w:val="22"/>
          <w:szCs w:val="22"/>
        </w:rPr>
      </w:pPr>
      <w:r>
        <w:rPr>
          <w:rFonts w:ascii="Calibri" w:cs="Arial" w:hAnsi="Calibri"/>
          <w:b/>
          <w:bCs/>
          <w:color w:val="000000"/>
          <w:sz w:val="22"/>
          <w:szCs w:val="22"/>
        </w:rPr>
        <w:t>Horário: 09:30 horas (horário de Brasília - DF)</w:t>
      </w:r>
    </w:p>
    <w:p>
      <w:pPr>
        <w:pStyle w:val="style0"/>
        <w:spacing w:line="480" w:lineRule="auto"/>
        <w:rPr>
          <w:rFonts w:ascii="Calibri" w:cs="Arial" w:hAnsi="Calibri"/>
          <w:b/>
          <w:bCs/>
          <w:color w:val="000000"/>
          <w:sz w:val="22"/>
          <w:szCs w:val="22"/>
        </w:rPr>
      </w:pPr>
      <w:r>
        <w:rPr>
          <w:rFonts w:ascii="Calibri" w:cs="Arial" w:hAnsi="Calibri"/>
          <w:b/>
          <w:bCs/>
          <w:color w:val="000000"/>
          <w:sz w:val="22"/>
          <w:szCs w:val="22"/>
        </w:rPr>
        <w:t>Local: Portal de Compras do Governo Federal – www.comprasgovernamentais.gov.br</w:t>
      </w:r>
    </w:p>
    <w:p>
      <w:pPr>
        <w:pStyle w:val="style0"/>
        <w:spacing w:after="120" w:before="0" w:line="276" w:lineRule="auto"/>
        <w:ind w:hanging="0" w:left="0" w:right="-3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rPr>
      </w:pPr>
      <w:r>
        <w:rPr>
          <w:rFonts w:ascii="Calibri" w:cs="Arial" w:hAnsi="Calibri"/>
          <w:b/>
          <w:color w:val="000000"/>
          <w:sz w:val="22"/>
          <w:szCs w:val="22"/>
        </w:rPr>
        <w:t>DO OBJETO</w:t>
      </w:r>
    </w:p>
    <w:p>
      <w:pPr>
        <w:pStyle w:val="style0"/>
        <w:widowControl/>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objeto da presente licitação é o registro de preços para eventual </w:t>
      </w:r>
      <w:r>
        <w:rPr>
          <w:rFonts w:ascii="Calibri" w:cs="Arial" w:hAnsi="Calibri"/>
          <w:b/>
          <w:bCs/>
          <w:i w:val="false"/>
          <w:iCs w:val="false"/>
          <w:color w:val="000000"/>
          <w:sz w:val="22"/>
          <w:szCs w:val="22"/>
        </w:rPr>
        <w:t>AQUISIÇÃO DE SUPRIMENTOS DE INFORMÁTICA E DE ELÉTRICA</w:t>
      </w:r>
      <w:r>
        <w:rPr>
          <w:rFonts w:ascii="Calibri" w:cs="Arial" w:hAnsi="Calibri"/>
          <w:color w:val="000000"/>
          <w:sz w:val="22"/>
          <w:szCs w:val="22"/>
        </w:rPr>
        <w:t>, conforme condições, quantidades e exigências estabelecidas neste Edital e seus anexos.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i/>
          <w:color w:val="000000"/>
          <w:sz w:val="22"/>
          <w:szCs w:val="22"/>
        </w:rPr>
        <w:t>A licitação será dividida em itens, conforme tabela constante do Termo de Referência, facultando-se ao licitante a participação em quantos itens forem de seu interesse.</w:t>
      </w:r>
      <w:r>
        <w:rPr>
          <w:rFonts w:ascii="Calibri" w:cs="Arial" w:hAnsi="Calibri"/>
          <w:color w:val="000000"/>
          <w:sz w:val="22"/>
          <w:szCs w:val="22"/>
        </w:rPr>
        <w:t xml:space="preserve"> </w:t>
      </w:r>
    </w:p>
    <w:p>
      <w:pPr>
        <w:pStyle w:val="style0"/>
        <w:numPr>
          <w:ilvl w:val="0"/>
          <w:numId w:val="1"/>
        </w:numPr>
        <w:spacing w:after="120" w:before="120" w:line="276" w:lineRule="auto"/>
        <w:ind w:hanging="360" w:left="360" w:right="0"/>
        <w:contextualSpacing w:val="false"/>
        <w:jc w:val="both"/>
        <w:rPr>
          <w:rFonts w:ascii="Calibri" w:cs="Arial" w:hAnsi="Calibri"/>
          <w:b/>
          <w:i/>
          <w:color w:val="000000"/>
          <w:sz w:val="22"/>
          <w:szCs w:val="22"/>
        </w:rPr>
      </w:pPr>
      <w:r>
        <w:rPr>
          <w:rFonts w:ascii="Calibri" w:cs="Arial" w:hAnsi="Calibri"/>
          <w:b/>
          <w:i/>
          <w:color w:val="000000"/>
          <w:sz w:val="22"/>
          <w:szCs w:val="22"/>
        </w:rPr>
        <w:t>DO ÓRGÃO GERENCIADOR E ÓRGÃOS PARTICIPANTES (item facultativo)</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O órgão gerenciador será o IFMT – Campus São Vicente.</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São participantes os seguintes órgãos:</w:t>
      </w:r>
    </w:p>
    <w:p>
      <w:pPr>
        <w:pStyle w:val="style0"/>
        <w:numPr>
          <w:ilvl w:val="2"/>
          <w:numId w:val="1"/>
        </w:numPr>
        <w:spacing w:after="120" w:before="120" w:line="276" w:lineRule="auto"/>
        <w:contextualSpacing w:val="false"/>
        <w:jc w:val="both"/>
        <w:rPr>
          <w:rFonts w:ascii="Calibri" w:cs="Arial" w:hAnsi="Calibri"/>
          <w:i/>
          <w:color w:val="000000"/>
          <w:sz w:val="22"/>
          <w:szCs w:val="22"/>
        </w:rPr>
      </w:pPr>
      <w:r>
        <w:rPr>
          <w:rFonts w:ascii="Calibri" w:cs="Arial" w:hAnsi="Calibri"/>
          <w:i/>
          <w:color w:val="000000"/>
          <w:sz w:val="22"/>
          <w:szCs w:val="22"/>
        </w:rPr>
        <w:t xml:space="preserve">.a) IFMT - </w:t>
      </w:r>
      <w:r>
        <w:rPr>
          <w:rFonts w:ascii="Calibri" w:cs="Arial" w:hAnsi="Calibri"/>
          <w:b/>
          <w:bCs/>
          <w:i/>
          <w:color w:val="000000"/>
          <w:sz w:val="22"/>
          <w:szCs w:val="22"/>
        </w:rPr>
        <w:t>Alta Floresta</w:t>
      </w:r>
      <w:r>
        <w:rPr>
          <w:rFonts w:ascii="Calibri" w:cs="Arial" w:hAnsi="Calibri"/>
          <w:i/>
          <w:color w:val="000000"/>
          <w:sz w:val="22"/>
          <w:szCs w:val="22"/>
        </w:rPr>
        <w:t xml:space="preserve"> - Rua A, Bairro: Setor A, 198, Primeiro Andar - CEP: 78580-000, Telefone: (66) 3512-7000, Alta Floresta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Barra do Garças</w:t>
      </w:r>
      <w:r>
        <w:rPr>
          <w:rFonts w:ascii="Calibri" w:hAnsi="Calibri"/>
          <w:color w:val="000000"/>
          <w:sz w:val="22"/>
          <w:szCs w:val="22"/>
        </w:rPr>
        <w:t xml:space="preserve"> - Estrada de acesso a BR-158, Radial José Maurício Zampa, s/n - CEP: 78600-000, Telefone: (66) 3402-0100, Barra do Garças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Cáceres</w:t>
      </w:r>
      <w:r>
        <w:rPr>
          <w:rFonts w:ascii="Calibri" w:hAnsi="Calibri"/>
          <w:color w:val="000000"/>
          <w:sz w:val="22"/>
          <w:szCs w:val="22"/>
        </w:rPr>
        <w:t xml:space="preserve"> - Av. dos Ramires, s/n - CEP: 78200-000, Telefone: (65) 3221-2600, Cáceres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 xml:space="preserve">Campus Cuiabá </w:t>
      </w:r>
      <w:r>
        <w:rPr>
          <w:rFonts w:ascii="Calibri" w:hAnsi="Calibri"/>
          <w:color w:val="000000"/>
          <w:sz w:val="22"/>
          <w:szCs w:val="22"/>
        </w:rPr>
        <w:t>- Rua Profa. Zulmira Canavarros, 93 - CEP: 78605-200, Telefone: (65) 3318-1400, Cuiabá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Confresa</w:t>
      </w:r>
      <w:r>
        <w:rPr>
          <w:rFonts w:ascii="Calibri" w:hAnsi="Calibri"/>
          <w:color w:val="000000"/>
          <w:sz w:val="22"/>
          <w:szCs w:val="22"/>
        </w:rPr>
        <w:t xml:space="preserve"> - Av. VIlmar Fernandes, 300 - CEP: 78652-000, Telefone: (66) 3564-2600, Confresa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Campo Novo do Parecis</w:t>
      </w:r>
      <w:r>
        <w:rPr>
          <w:rFonts w:ascii="Calibri" w:hAnsi="Calibri"/>
          <w:color w:val="000000"/>
          <w:sz w:val="22"/>
          <w:szCs w:val="22"/>
        </w:rPr>
        <w:t xml:space="preserve"> - MT 235 Km 12, s/n - CEP: 78360-000, Telefone: (65) 3382-6200, Campo Novo do Parecis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Diamantino</w:t>
      </w:r>
      <w:r>
        <w:rPr>
          <w:rFonts w:ascii="Calibri" w:hAnsi="Calibri"/>
          <w:color w:val="000000"/>
          <w:sz w:val="22"/>
          <w:szCs w:val="22"/>
        </w:rPr>
        <w:t xml:space="preserve"> - Rodovia Roberto Campos - Novo Diamantino, None - CEP: 78400-970, Telefone: (65) 3337-1005, Diamantino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Guarantã do Norte</w:t>
      </w:r>
      <w:r>
        <w:rPr>
          <w:rFonts w:ascii="Calibri" w:hAnsi="Calibri"/>
          <w:color w:val="000000"/>
          <w:sz w:val="22"/>
          <w:szCs w:val="22"/>
        </w:rPr>
        <w:t xml:space="preserve"> - Rua Cambará nº 1.145, Centro - CEP: 78520-000, Telefone: (65) 9649-9668, Guarantã do Norte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Juína</w:t>
      </w:r>
      <w:r>
        <w:rPr>
          <w:rFonts w:ascii="Calibri" w:hAnsi="Calibri"/>
          <w:color w:val="000000"/>
          <w:sz w:val="22"/>
          <w:szCs w:val="22"/>
        </w:rPr>
        <w:t xml:space="preserve"> - Linha J, s/n - CEP: 78320-000, Telefone: (66) 3566-7300, Juína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Lucas do Rio Verde</w:t>
      </w:r>
      <w:r>
        <w:rPr>
          <w:rFonts w:ascii="Calibri" w:hAnsi="Calibri"/>
          <w:color w:val="000000"/>
          <w:sz w:val="22"/>
          <w:szCs w:val="22"/>
        </w:rPr>
        <w:t xml:space="preserve"> - Avenida Universitária 1600-W - Bairro: Parque das Emas - CEP: 78455-000, Telefone: (65) 9686-6126, Lucas do Rio Verde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Primavera do Leste</w:t>
      </w:r>
      <w:r>
        <w:rPr>
          <w:rFonts w:ascii="Calibri" w:hAnsi="Calibri"/>
          <w:color w:val="000000"/>
          <w:sz w:val="22"/>
          <w:szCs w:val="22"/>
        </w:rPr>
        <w:t xml:space="preserve"> - AVENIDA SANTO ANTÔNIO, Nº 1.075, Parque Eldorado – Primavera do Leste – MT. Telefone: (66)3498-2716.</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Pontes e Lacerda</w:t>
      </w:r>
      <w:r>
        <w:rPr>
          <w:rFonts w:ascii="Calibri" w:hAnsi="Calibri"/>
          <w:color w:val="000000"/>
          <w:sz w:val="22"/>
          <w:szCs w:val="22"/>
        </w:rPr>
        <w:t xml:space="preserve"> - Rodovia MT-473, s/n - CEP: 78250-000, Telefone: (65) 32668200/3266-8241, Pontes e Lacerda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Rondonópolis</w:t>
      </w:r>
      <w:r>
        <w:rPr>
          <w:rFonts w:ascii="Calibri" w:hAnsi="Calibri"/>
          <w:color w:val="000000"/>
          <w:sz w:val="22"/>
          <w:szCs w:val="22"/>
        </w:rPr>
        <w:t xml:space="preserve"> - Rua Ananias Martins de Souza, nº 861 – Vila Mineira, Rondonópolis – MT . Telefone: (66)3427-2309.</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Reitoria</w:t>
      </w:r>
      <w:r>
        <w:rPr>
          <w:rFonts w:ascii="Calibri" w:hAnsi="Calibri"/>
          <w:color w:val="000000"/>
          <w:sz w:val="22"/>
          <w:szCs w:val="22"/>
        </w:rPr>
        <w:t xml:space="preserve"> - Avenida Sen. Filinto Müller, 953 - Bairro: Duque de Caxias - CEP: 78043-400, Telefone: (65) 3616-4100, Cuiabá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Sinop</w:t>
      </w:r>
      <w:r>
        <w:rPr>
          <w:rFonts w:ascii="Calibri" w:hAnsi="Calibri"/>
          <w:color w:val="000000"/>
          <w:sz w:val="22"/>
          <w:szCs w:val="22"/>
        </w:rPr>
        <w:t xml:space="preserve"> - Rua das Avencas, 2377, Setor Comercial, Centro - CEP: 78557-477-000, Telefone: (65) 9952-0013, Sinop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Sorriso</w:t>
      </w:r>
      <w:r>
        <w:rPr>
          <w:rFonts w:ascii="Calibri" w:hAnsi="Calibri"/>
          <w:color w:val="000000"/>
          <w:sz w:val="22"/>
          <w:szCs w:val="22"/>
        </w:rPr>
        <w:t xml:space="preserve"> - Av. dos Universitários, 799, Bairro: Santa Clara - CEP: 78890-000, Telefone: (65) 9961-2297 - (65) 9985-6928, Sorriso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 xml:space="preserve">Campus São Vicente </w:t>
      </w:r>
      <w:r>
        <w:rPr>
          <w:rFonts w:ascii="Calibri" w:hAnsi="Calibri"/>
          <w:color w:val="000000"/>
          <w:sz w:val="22"/>
          <w:szCs w:val="22"/>
        </w:rPr>
        <w:t>- SVC - Rodovia BR 364, Km 329, Vila de São Vicente, Município de Santo Antonio do Leverger - MT, Telefone: (65) 3341-2110.</w:t>
      </w:r>
    </w:p>
    <w:p>
      <w:pPr>
        <w:pStyle w:val="style0"/>
        <w:numPr>
          <w:ilvl w:val="2"/>
          <w:numId w:val="1"/>
        </w:numPr>
        <w:spacing w:after="120" w:before="120" w:line="276" w:lineRule="auto"/>
        <w:contextualSpacing w:val="false"/>
        <w:jc w:val="both"/>
        <w:rPr>
          <w:rFonts w:ascii="Calibri" w:cs="Arial" w:hAnsi="Calibri"/>
          <w:i/>
          <w:iCs/>
          <w:color w:val="000000"/>
          <w:sz w:val="22"/>
          <w:szCs w:val="22"/>
        </w:rPr>
      </w:pPr>
      <w:r>
        <w:rPr>
          <w:rFonts w:ascii="Calibri" w:cs="Arial" w:hAnsi="Calibri"/>
          <w:i/>
          <w:iCs/>
          <w:color w:val="000000"/>
          <w:sz w:val="22"/>
          <w:szCs w:val="22"/>
        </w:rPr>
        <w:t xml:space="preserve">IFMT - </w:t>
      </w:r>
      <w:r>
        <w:rPr>
          <w:rFonts w:ascii="Calibri" w:cs="Arial" w:hAnsi="Calibri"/>
          <w:b/>
          <w:bCs/>
          <w:i/>
          <w:iCs/>
          <w:color w:val="000000"/>
          <w:sz w:val="22"/>
          <w:szCs w:val="22"/>
        </w:rPr>
        <w:t>Campus Tangará da Serra</w:t>
      </w:r>
      <w:r>
        <w:rPr>
          <w:rFonts w:ascii="Calibri" w:cs="Arial" w:hAnsi="Calibri"/>
          <w:i/>
          <w:iCs/>
          <w:color w:val="000000"/>
          <w:sz w:val="22"/>
          <w:szCs w:val="22"/>
        </w:rPr>
        <w:t xml:space="preserve"> - Rua 28, 980 N - CEP: 78300-000, Telefone: (65) 3311-8500, Tangará da Serra / MT. </w:t>
      </w:r>
    </w:p>
    <w:p>
      <w:pPr>
        <w:pStyle w:val="style0"/>
        <w:widowControl/>
        <w:numPr>
          <w:ilvl w:val="2"/>
          <w:numId w:val="1"/>
        </w:numPr>
        <w:suppressAutoHyphens w:val="true"/>
        <w:spacing w:after="120" w:before="120" w:line="276" w:lineRule="auto"/>
        <w:contextualSpacing w:val="false"/>
        <w:jc w:val="both"/>
        <w:rPr>
          <w:rFonts w:ascii="Calibri" w:cs="Arial" w:hAnsi="Calibri"/>
          <w:i/>
          <w:iCs/>
          <w:color w:val="000000"/>
          <w:sz w:val="22"/>
          <w:szCs w:val="22"/>
        </w:rPr>
      </w:pPr>
      <w:r>
        <w:rPr>
          <w:rFonts w:ascii="Calibri" w:cs="Arial" w:hAnsi="Calibri"/>
          <w:i/>
          <w:iCs/>
          <w:color w:val="000000"/>
          <w:sz w:val="22"/>
          <w:szCs w:val="22"/>
        </w:rPr>
        <w:t xml:space="preserve">IFMT – </w:t>
      </w:r>
      <w:r>
        <w:rPr>
          <w:rFonts w:ascii="Calibri" w:cs="Arial" w:hAnsi="Calibri"/>
          <w:b/>
          <w:bCs/>
          <w:i/>
          <w:iCs/>
          <w:color w:val="000000"/>
          <w:sz w:val="22"/>
          <w:szCs w:val="22"/>
        </w:rPr>
        <w:t>Campus Várzea Grande</w:t>
      </w:r>
      <w:r>
        <w:rPr>
          <w:rFonts w:ascii="Calibri" w:cs="Arial" w:hAnsi="Calibri"/>
          <w:i/>
          <w:iCs/>
          <w:color w:val="000000"/>
          <w:sz w:val="22"/>
          <w:szCs w:val="22"/>
        </w:rPr>
        <w:t xml:space="preserve"> – Avenida Tiradentes, nº 1300, Lot. Jardim Manaira, Petropolis, Varzea Grande – MT, CEP 78144-424;</w:t>
      </w:r>
    </w:p>
    <w:p>
      <w:pPr>
        <w:pStyle w:val="style0"/>
        <w:widowControl/>
        <w:numPr>
          <w:ilvl w:val="2"/>
          <w:numId w:val="1"/>
        </w:numPr>
        <w:suppressAutoHyphens w:val="true"/>
        <w:spacing w:after="120" w:before="120" w:line="276" w:lineRule="auto"/>
        <w:contextualSpacing w:val="false"/>
        <w:jc w:val="both"/>
        <w:rPr>
          <w:rFonts w:ascii="Calibri" w:cs="Arial" w:hAnsi="Calibri"/>
          <w:b w:val="false"/>
          <w:bCs w:val="false"/>
          <w:i/>
          <w:iCs/>
          <w:color w:val="000000"/>
          <w:sz w:val="22"/>
          <w:szCs w:val="22"/>
        </w:rPr>
      </w:pPr>
      <w:r>
        <w:rPr>
          <w:rFonts w:ascii="Calibri" w:cs="Arial" w:hAnsi="Calibri"/>
          <w:b/>
          <w:bCs/>
          <w:i/>
          <w:iCs/>
          <w:color w:val="000000"/>
          <w:sz w:val="22"/>
          <w:szCs w:val="22"/>
        </w:rPr>
        <w:t xml:space="preserve">Universidade Federal do Tocantins – </w:t>
      </w:r>
      <w:r>
        <w:rPr>
          <w:rFonts w:ascii="Calibri" w:cs="Arial" w:hAnsi="Calibri"/>
          <w:b w:val="false"/>
          <w:bCs w:val="false"/>
          <w:i/>
          <w:iCs/>
          <w:color w:val="000000"/>
          <w:sz w:val="22"/>
          <w:szCs w:val="22"/>
        </w:rPr>
        <w:t>Diretoria de tecnologia da Informação: 109 Norte, Av NS 15, ALC-NO 14, Bloco IV, Sala 125, CEP 77001-090 – Palmas – TO.</w:t>
      </w:r>
    </w:p>
    <w:p>
      <w:pPr>
        <w:pStyle w:val="style0"/>
        <w:widowControl/>
        <w:numPr>
          <w:ilvl w:val="1"/>
          <w:numId w:val="1"/>
        </w:numPr>
        <w:suppressAutoHyphens w:val="true"/>
        <w:spacing w:after="120" w:before="120" w:line="276" w:lineRule="auto"/>
        <w:contextualSpacing w:val="false"/>
        <w:jc w:val="both"/>
        <w:rPr>
          <w:rFonts w:ascii="Calibri" w:cs="Arial" w:hAnsi="Calibri"/>
          <w:b w:val="false"/>
          <w:bCs w:val="false"/>
          <w:i/>
          <w:iCs/>
          <w:color w:val="000000"/>
          <w:sz w:val="22"/>
          <w:szCs w:val="22"/>
        </w:rPr>
      </w:pPr>
      <w:r>
        <w:rPr>
          <w:rFonts w:ascii="Calibri" w:cs="Arial" w:hAnsi="Calibri"/>
          <w:b w:val="false"/>
          <w:bCs w:val="false"/>
          <w:i/>
          <w:iCs/>
          <w:color w:val="000000"/>
          <w:sz w:val="22"/>
          <w:szCs w:val="22"/>
        </w:rPr>
        <w:t>O Órgão gerenciador deverá promover a revisão periódica dos preços registrados e tão logo, após revisados os preços, encaminhar aos participantes a cópia da ata complementar relativo a renegociação dos preços.</w:t>
      </w:r>
    </w:p>
    <w:p>
      <w:pPr>
        <w:pStyle w:val="style0"/>
        <w:tabs>
          <w:tab w:leader="none" w:pos="1755" w:val="left"/>
        </w:tabs>
        <w:rPr>
          <w:rFonts w:ascii="Calibri" w:cs="Arial" w:hAnsi="Calibri"/>
          <w:color w:val="000000"/>
          <w:sz w:val="22"/>
          <w:szCs w:val="22"/>
          <w:lang w:eastAsia="en-US"/>
        </w:rPr>
      </w:pPr>
      <w:r>
        <w:rPr>
          <w:rFonts w:ascii="Calibri" w:cs="Arial" w:hAnsi="Calibri"/>
          <w:color w:val="000000"/>
          <w:sz w:val="22"/>
          <w:szCs w:val="22"/>
          <w:lang w:eastAsia="en-US"/>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 xml:space="preserve">DA ADESÃO À ATA DE REGISTRO DE PREÇOS </w:t>
      </w:r>
    </w:p>
    <w:p>
      <w:pPr>
        <w:pStyle w:val="style84"/>
        <w:numPr>
          <w:ilvl w:val="1"/>
          <w:numId w:val="2"/>
        </w:numPr>
        <w:spacing w:after="120" w:before="120" w:line="276" w:lineRule="auto"/>
        <w:contextualSpacing w:val="false"/>
        <w:jc w:val="both"/>
        <w:rPr>
          <w:rFonts w:ascii="Arial" w:cs="Arial" w:hAnsi="Arial"/>
          <w:i/>
          <w:color w:val="000000"/>
          <w:sz w:val="20"/>
          <w:szCs w:val="20"/>
          <w:lang w:eastAsia="en-US"/>
        </w:rPr>
      </w:pPr>
      <w:r>
        <w:rPr>
          <w:rFonts w:ascii="Arial" w:cs="Arial" w:hAnsi="Arial"/>
          <w:i/>
          <w:color w:val="000000"/>
          <w:sz w:val="20"/>
          <w:szCs w:val="20"/>
          <w:lang w:eastAsia="en-US"/>
        </w:rPr>
        <w:t>Não será admitida a adesão à ata de registro de preços decorrente desta licitação.</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DO CREDENCIAMENTO</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bCs/>
          <w:iCs/>
          <w:color w:val="000000"/>
          <w:sz w:val="22"/>
          <w:szCs w:val="22"/>
        </w:rPr>
        <w:t>O Credenciamento é o nível básico do registro cadastral no SICAF, que permite a participação dos interessados na modalidade licitatória Pregão, em sua forma eletrônica.</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bCs/>
          <w:iCs/>
          <w:color w:val="000000"/>
          <w:sz w:val="22"/>
          <w:szCs w:val="22"/>
        </w:rPr>
        <w:t>O cadastro no SICAF poderá ser iniciado no Portal de Compras do Governo Federal, no sítio www.comprasgovernamentais.gov.br, com a solicitação de login e senha pelo interessado.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 perda da senha ou a quebra de sigilo deverão ser comunicadas imediatamente ao provedor do sistema para imediato bloqueio de acesso.</w:t>
      </w:r>
    </w:p>
    <w:p>
      <w:pPr>
        <w:pStyle w:val="style0"/>
        <w:numPr>
          <w:ilvl w:val="0"/>
          <w:numId w:val="1"/>
        </w:numPr>
        <w:shd w:fill="FFFFFF" w:val="clear"/>
        <w:spacing w:after="120" w:before="120" w:line="276" w:lineRule="auto"/>
        <w:ind w:hanging="360" w:left="360" w:right="0"/>
        <w:contextualSpacing w:val="false"/>
        <w:jc w:val="both"/>
        <w:rPr>
          <w:rFonts w:ascii="Calibri" w:cs="Arial" w:hAnsi="Calibri"/>
          <w:b/>
          <w:bCs/>
          <w:color w:val="000000"/>
          <w:sz w:val="22"/>
          <w:szCs w:val="22"/>
          <w:shd w:fill="FFFFFF" w:val="clear"/>
        </w:rPr>
      </w:pPr>
      <w:r>
        <w:rPr>
          <w:rFonts w:ascii="Calibri" w:cs="Arial" w:hAnsi="Calibri"/>
          <w:b/>
          <w:bCs/>
          <w:color w:val="000000"/>
          <w:sz w:val="22"/>
          <w:szCs w:val="22"/>
          <w:shd w:fill="FFFFFF" w:val="clear"/>
        </w:rPr>
        <w:t>DA PARTICIPAÇÃO NO PREGÃO.</w:t>
      </w:r>
    </w:p>
    <w:p>
      <w:pPr>
        <w:pStyle w:val="style0"/>
        <w:numPr>
          <w:ilvl w:val="1"/>
          <w:numId w:val="1"/>
        </w:numPr>
        <w:shd w:fill="FFFFFF" w:val="clea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bCs/>
          <w:color w:val="000000"/>
          <w:sz w:val="22"/>
          <w:szCs w:val="22"/>
          <w:shd w:fill="FFFFFF" w:val="clear"/>
        </w:rPr>
        <w:t>Poderão participar deste Pregão interessados cujo ramo de atividade seja compatível com o objeto desta licitação, e que estejam com Credenciamento regular no</w:t>
      </w:r>
      <w:r>
        <w:rPr>
          <w:rFonts w:ascii="Calibri" w:cs="Arial" w:hAnsi="Calibri"/>
          <w:color w:val="000000"/>
          <w:sz w:val="22"/>
          <w:szCs w:val="22"/>
          <w:shd w:fill="FFFFFF" w:val="clear"/>
        </w:rPr>
        <w:t xml:space="preserve"> Sistema de Cadastramento</w:t>
      </w:r>
      <w:r>
        <w:rPr>
          <w:rFonts w:ascii="Calibri" w:cs="Arial" w:hAnsi="Calibri"/>
          <w:color w:val="000000"/>
          <w:sz w:val="22"/>
          <w:szCs w:val="22"/>
        </w:rPr>
        <w:t xml:space="preserve"> Unificado de Fornecedores – SICAF, conforme disposto no §3º do artigo 8º da Instrução Normativa SLTI/MPOG nº 2, de 2010.</w:t>
      </w:r>
    </w:p>
    <w:p>
      <w:pPr>
        <w:pStyle w:val="style0"/>
        <w:numPr>
          <w:ilvl w:val="1"/>
          <w:numId w:val="1"/>
        </w:numPr>
        <w:shd w:fill="FFFFFF" w:val="clea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bCs/>
          <w:iCs/>
          <w:color w:val="000000"/>
          <w:sz w:val="22"/>
          <w:szCs w:val="22"/>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pPr>
        <w:pStyle w:val="style0"/>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iCs/>
          <w:color w:val="000000"/>
          <w:sz w:val="22"/>
          <w:szCs w:val="22"/>
        </w:rPr>
        <w:t xml:space="preserve">Em relação aos itens </w:t>
      </w:r>
      <w:r>
        <w:rPr>
          <w:rFonts w:ascii="Calibri" w:cs="Arial" w:hAnsi="Calibri"/>
          <w:b/>
          <w:bCs/>
          <w:iCs/>
          <w:color w:val="000000"/>
          <w:sz w:val="22"/>
          <w:szCs w:val="22"/>
        </w:rPr>
        <w:t>1,</w:t>
      </w:r>
      <w:r>
        <w:rPr>
          <w:rFonts w:ascii="Calibri" w:cs="Arial" w:hAnsi="Calibri"/>
          <w:bCs/>
          <w:iCs/>
          <w:color w:val="000000"/>
          <w:sz w:val="22"/>
          <w:szCs w:val="22"/>
        </w:rPr>
        <w:t xml:space="preserve"> </w:t>
      </w:r>
      <w:r>
        <w:rPr>
          <w:rFonts w:ascii="Calibri" w:cs="Arial" w:hAnsi="Calibri"/>
          <w:b/>
          <w:bCs/>
          <w:iCs/>
          <w:color w:val="000000"/>
          <w:sz w:val="22"/>
          <w:szCs w:val="22"/>
        </w:rPr>
        <w:t>2, 3, 4, 5, 6, 7, 8, 9, 10, 11, 12, 13, 14, 15, 16, 17, 18, 19, 20, 21, 24, 27, 29, 30, 31, 32, 34, 35, 36, 37, 38, 39, 40, 41, 42, 43, 44, 45, 46, 47, 48, 49, 50, 51, 55, 56, 57, 58, 60, 61, 62, 63, 64, 65, 66, 67, 68, 69, 71, 72, 73, 74, 76, 77, 79, 80, 81, 82, 83, 84, 85, 86, 87 e 88</w:t>
      </w:r>
      <w:r>
        <w:rPr>
          <w:rFonts w:ascii="Calibri" w:cs="Arial" w:hAnsi="Calibri"/>
          <w:bCs/>
          <w:iCs/>
          <w:color w:val="000000"/>
          <w:sz w:val="22"/>
          <w:szCs w:val="22"/>
        </w:rPr>
        <w:t xml:space="preserve"> a</w:t>
      </w:r>
      <w:r>
        <w:rPr>
          <w:rFonts w:ascii="Calibri" w:cs="Arial" w:hAnsi="Calibri"/>
          <w:bCs/>
          <w:color w:val="000000"/>
          <w:sz w:val="22"/>
          <w:szCs w:val="22"/>
        </w:rPr>
        <w:t xml:space="preserve"> participação </w:t>
      </w:r>
      <w:r>
        <w:rPr>
          <w:rFonts w:ascii="Calibri" w:cs="Arial" w:hAnsi="Calibri"/>
          <w:b/>
          <w:bCs/>
          <w:color w:val="000000"/>
          <w:sz w:val="22"/>
          <w:szCs w:val="22"/>
        </w:rPr>
        <w:t>É EXCLUSIVA</w:t>
      </w:r>
      <w:r>
        <w:rPr>
          <w:rFonts w:ascii="Calibri" w:cs="Arial" w:hAnsi="Calibri"/>
          <w:bCs/>
          <w:color w:val="000000"/>
          <w:sz w:val="22"/>
          <w:szCs w:val="22"/>
        </w:rPr>
        <w:t xml:space="preserve"> a microempresas e empresas de pequeno porte.</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Não poderão participar desta licitação interessados:</w:t>
      </w:r>
    </w:p>
    <w:p>
      <w:pPr>
        <w:pStyle w:val="style0"/>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Proibidos de participar de licitações e celebrar contratos administrativos, na forma da legislação vigente;</w:t>
      </w:r>
    </w:p>
    <w:p>
      <w:pPr>
        <w:pStyle w:val="style0"/>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Estrangeiros que não tenham representação legal no Brasil com poderes expressos para receber citação e responder administrativa ou judicialmente;</w:t>
      </w:r>
    </w:p>
    <w:p>
      <w:pPr>
        <w:pStyle w:val="style0"/>
        <w:numPr>
          <w:ilvl w:val="2"/>
          <w:numId w:val="1"/>
        </w:numPr>
        <w:spacing w:after="120" w:before="120" w:line="276" w:lineRule="auto"/>
        <w:ind w:hanging="504" w:left="1922" w:right="0"/>
        <w:contextualSpacing w:val="false"/>
        <w:jc w:val="both"/>
        <w:rPr>
          <w:rFonts w:ascii="Calibri" w:cs="Arial" w:eastAsia="Arial Unicode MS" w:hAnsi="Calibri"/>
          <w:color w:val="000000"/>
          <w:sz w:val="22"/>
          <w:szCs w:val="22"/>
        </w:rPr>
      </w:pPr>
      <w:r>
        <w:rPr>
          <w:rFonts w:ascii="Calibri" w:cs="Arial" w:eastAsia="Arial Unicode MS" w:hAnsi="Calibri"/>
          <w:color w:val="000000"/>
          <w:sz w:val="22"/>
          <w:szCs w:val="22"/>
        </w:rPr>
        <w:t>Que se enquadrem nas vedações previstas no artigo 9º da Lei nº 8.666, de 1993;</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Que estejam sob falência, em recuperação judicial ou extrajudicial, concurso de credores, concordata ou insolvência, em processo de dissolução ou liquidação;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Entidades empresariais que estejam reunidas em consórcio;</w:t>
      </w:r>
    </w:p>
    <w:p>
      <w:pPr>
        <w:pStyle w:val="style0"/>
        <w:widowControl/>
        <w:numPr>
          <w:ilvl w:val="3"/>
          <w:numId w:val="1"/>
        </w:numPr>
        <w:suppressAutoHyphens w:val="true"/>
        <w:spacing w:after="120" w:before="120" w:line="276" w:lineRule="auto"/>
        <w:ind w:hanging="648" w:left="1728" w:right="0"/>
        <w:contextualSpacing w:val="false"/>
        <w:jc w:val="both"/>
        <w:rPr/>
      </w:pPr>
      <w:r>
        <w:rPr/>
        <w:t>O presente edital não prevê as condições de participação de empresas reunidas em consórcio, vez que a experiência prática demonstra que as licitações que permitem essa participação são aquelas que envolvem serviços de grande vulto e/ou de alta complexidade técnica.</w:t>
      </w:r>
    </w:p>
    <w:p>
      <w:pPr>
        <w:pStyle w:val="style0"/>
        <w:numPr>
          <w:ilvl w:val="1"/>
          <w:numId w:val="1"/>
        </w:numPr>
        <w:spacing w:after="120" w:before="120" w:line="276" w:lineRule="auto"/>
        <w:ind w:hanging="432" w:left="1141" w:right="0"/>
        <w:contextualSpacing w:val="false"/>
        <w:jc w:val="both"/>
        <w:rPr>
          <w:rFonts w:ascii="Calibri" w:cs="Arial" w:eastAsia="Zurich BT" w:hAnsi="Calibri"/>
          <w:bCs/>
          <w:color w:val="000000"/>
          <w:sz w:val="22"/>
          <w:szCs w:val="22"/>
        </w:rPr>
      </w:pPr>
      <w:r>
        <w:rPr>
          <w:rFonts w:ascii="Calibri" w:cs="Arial" w:hAnsi="Calibri"/>
          <w:color w:val="000000"/>
          <w:sz w:val="22"/>
          <w:szCs w:val="22"/>
        </w:rPr>
        <w:t>Como condição para participação no Pregão, a licitante assinalará “sim” ou “não” em campo próprio do sistema eletrônico, relativo às seguintes declarações:</w:t>
      </w:r>
      <w:r>
        <w:rPr>
          <w:rFonts w:ascii="Calibri" w:cs="Arial" w:eastAsia="Zurich BT" w:hAnsi="Calibri"/>
          <w:bCs/>
          <w:color w:val="000000"/>
          <w:sz w:val="22"/>
          <w:szCs w:val="22"/>
        </w:rPr>
        <w:t xml:space="preserve">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bCs/>
          <w:color w:val="000000"/>
          <w:sz w:val="22"/>
          <w:szCs w:val="22"/>
        </w:rPr>
        <w:t xml:space="preserve">que cumpre os requisitos estabelecidos no artigo 3° </w:t>
      </w:r>
      <w:r>
        <w:rPr>
          <w:rFonts w:ascii="Calibri" w:cs="Arial" w:hAnsi="Calibri"/>
          <w:color w:val="000000"/>
          <w:sz w:val="22"/>
          <w:szCs w:val="22"/>
        </w:rPr>
        <w:t>da Lei Complementar nº 123, de 2006, estando apta a usufruir do tratamento favorecido estabelecido em seus arts. 42 a 49.</w:t>
      </w:r>
    </w:p>
    <w:p>
      <w:pPr>
        <w:pStyle w:val="style0"/>
        <w:numPr>
          <w:ilvl w:val="3"/>
          <w:numId w:val="1"/>
        </w:numPr>
        <w:spacing w:after="120" w:before="120" w:line="276" w:lineRule="auto"/>
        <w:ind w:hanging="648" w:left="1728" w:right="0"/>
        <w:contextualSpacing w:val="false"/>
        <w:jc w:val="both"/>
        <w:rPr>
          <w:rFonts w:ascii="Calibri" w:cs="Arial" w:hAnsi="Calibri"/>
          <w:bCs/>
          <w:color w:val="000000"/>
          <w:sz w:val="22"/>
          <w:szCs w:val="22"/>
        </w:rPr>
      </w:pPr>
      <w:r>
        <w:rPr>
          <w:rFonts w:ascii="Calibri" w:cs="Arial" w:hAnsi="Calibri"/>
          <w:bCs/>
          <w:color w:val="000000"/>
          <w:sz w:val="22"/>
          <w:szCs w:val="22"/>
        </w:rPr>
        <w:t>Nos itens exclusivos a microempresas e empresas de pequeno porte, a assinalação do campo “não” impedirá o prosseguimento no certame;</w:t>
      </w:r>
    </w:p>
    <w:p>
      <w:pPr>
        <w:pStyle w:val="style0"/>
        <w:numPr>
          <w:ilvl w:val="3"/>
          <w:numId w:val="1"/>
        </w:numPr>
        <w:spacing w:after="120" w:before="120" w:line="276" w:lineRule="auto"/>
        <w:ind w:hanging="648" w:left="1728" w:right="0"/>
        <w:contextualSpacing w:val="false"/>
        <w:jc w:val="both"/>
        <w:rPr>
          <w:rFonts w:ascii="Calibri" w:cs="Arial" w:hAnsi="Calibri"/>
          <w:color w:val="000000"/>
          <w:sz w:val="22"/>
          <w:szCs w:val="22"/>
        </w:rPr>
      </w:pPr>
      <w:r>
        <w:rPr>
          <w:rFonts w:ascii="Calibri" w:cs="Arial" w:hAnsi="Calibri"/>
          <w:color w:val="000000"/>
          <w:sz w:val="22"/>
          <w:szCs w:val="22"/>
        </w:rPr>
        <w:t>Nos itens não exclusivos, a assinalação do campo “não” apenas produzirá o efeito de o licitante não ter direito ao tratamento favorecido previsto na Lei Complementar nº 123, de 2006, mesmo que seja qualificada como microempresa ou empresa de pequeno porte;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Que está ciente e concorda com as condições contidas no Edital e seus anexos, bem como de que cumpre plenamente os requisitos de habilitação definidos no Edital;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Que inexistem fatos impeditivos para sua habilitação no certame, ciente da obrigatoriedade de declarar ocorrências posteriores; </w:t>
      </w:r>
    </w:p>
    <w:p>
      <w:pPr>
        <w:pStyle w:val="style0"/>
        <w:numPr>
          <w:ilvl w:val="2"/>
          <w:numId w:val="1"/>
        </w:numPr>
        <w:spacing w:after="120" w:before="120" w:line="276" w:lineRule="auto"/>
        <w:ind w:hanging="504" w:left="1922" w:right="0"/>
        <w:contextualSpacing w:val="false"/>
        <w:jc w:val="both"/>
        <w:rPr>
          <w:rFonts w:ascii="Calibri" w:cs="Arial" w:eastAsia="Zurich BT" w:hAnsi="Calibri"/>
          <w:color w:val="000000"/>
          <w:sz w:val="22"/>
          <w:szCs w:val="22"/>
        </w:rPr>
      </w:pPr>
      <w:r>
        <w:rPr>
          <w:rFonts w:ascii="Calibri" w:cs="Arial" w:hAnsi="Calibri"/>
          <w:color w:val="000000"/>
          <w:sz w:val="22"/>
          <w:szCs w:val="22"/>
        </w:rPr>
        <w:t>Que não emprega menor de 18 anos em trabalho noturno, perigoso ou insalubre e não emprega menor de 16 anos, salvo menor, a partir de 14 anos, na condição de aprendiz, nos termos do artigo 7°, XXXIII, da Constituição.</w:t>
      </w:r>
      <w:r>
        <w:rPr>
          <w:rFonts w:ascii="Calibri" w:cs="Arial" w:eastAsia="Zurich BT" w:hAnsi="Calibri"/>
          <w:color w:val="000000"/>
          <w:sz w:val="22"/>
          <w:szCs w:val="22"/>
        </w:rPr>
        <w:t xml:space="preserve">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eastAsia="Zurich BT" w:hAnsi="Calibri"/>
          <w:color w:val="000000"/>
          <w:sz w:val="22"/>
          <w:szCs w:val="22"/>
        </w:rPr>
        <w:t>Que a proposta foi elaborada de forma independente, nos termos d</w:t>
      </w:r>
      <w:r>
        <w:rPr>
          <w:rFonts w:ascii="Calibri" w:cs="Arial" w:hAnsi="Calibri"/>
          <w:color w:val="000000"/>
          <w:sz w:val="22"/>
          <w:szCs w:val="22"/>
        </w:rPr>
        <w:t>a Instrução Normativa SLTI/MPOG nº 2, de 16 de setembro de 2009;</w:t>
      </w:r>
    </w:p>
    <w:p>
      <w:pPr>
        <w:pStyle w:val="style0"/>
        <w:numPr>
          <w:ilvl w:val="0"/>
          <w:numId w:val="1"/>
        </w:numPr>
        <w:tabs>
          <w:tab w:leader="none" w:pos="567" w:val="left"/>
        </w:tabs>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DO ENVIO DA PROPOSTA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licitante deverá encaminhar a proposta por meio do sistema eletrônico até a data e horário marcados para abertura da sessão, quando então, encerrar-se-á automaticamente a fase de recebimento de propostas.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Todas as referências de tempo no Edital, no aviso e durante a sessão pública observarão o horário de Brasília – DF.</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licitante será responsável por todas as transações que forem efetuadas em seu nome no sistema eletrônico, assumindo como firmes e verdadeiras suas propostas e lances.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Até a abertura da sessão, os licitantes poderão retirar ou substituir as propostas apresentadas.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licitante deverá enviar sua proposta mediante o preenchimento, no sistema eletrônico, dos seguintes campos:</w:t>
      </w:r>
    </w:p>
    <w:p>
      <w:pPr>
        <w:pStyle w:val="style0"/>
        <w:numPr>
          <w:ilvl w:val="2"/>
          <w:numId w:val="1"/>
        </w:numPr>
        <w:spacing w:after="120" w:before="120" w:line="276" w:lineRule="auto"/>
        <w:ind w:hanging="504" w:left="1922" w:right="0"/>
        <w:contextualSpacing w:val="false"/>
        <w:jc w:val="both"/>
        <w:rPr>
          <w:rFonts w:ascii="Calibri" w:cs="Arial" w:hAnsi="Calibri"/>
          <w:bCs/>
          <w:i/>
          <w:iCs/>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V</w:t>
      </w:r>
      <w:r>
        <w:rPr>
          <w:rFonts w:ascii="Calibri" w:cs="Arial" w:hAnsi="Calibri"/>
          <w:i/>
          <w:color w:val="000000"/>
          <w:sz w:val="22"/>
          <w:szCs w:val="22"/>
        </w:rPr>
        <w:t>alor unitário</w:t>
      </w:r>
      <w:r>
        <w:rPr>
          <w:rFonts w:ascii="Calibri" w:cs="Arial" w:hAnsi="Calibri"/>
          <w:bCs/>
          <w:i/>
          <w:iCs/>
          <w:color w:val="000000"/>
          <w:sz w:val="22"/>
          <w:szCs w:val="22"/>
        </w:rPr>
        <w:t>;</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quantidade de unidades, observada a quantidade mínima fixada no Termo de Referência para cada item;</w:t>
      </w:r>
    </w:p>
    <w:p>
      <w:pPr>
        <w:pStyle w:val="style0"/>
        <w:numPr>
          <w:ilvl w:val="3"/>
          <w:numId w:val="1"/>
        </w:numPr>
        <w:spacing w:after="120" w:before="120" w:line="276" w:lineRule="auto"/>
        <w:ind w:hanging="648" w:left="1728" w:right="0"/>
        <w:contextualSpacing w:val="false"/>
        <w:jc w:val="both"/>
        <w:rPr>
          <w:rFonts w:ascii="Calibri" w:cs="Arial" w:hAnsi="Calibri"/>
          <w:color w:val="000000"/>
          <w:sz w:val="22"/>
          <w:szCs w:val="22"/>
        </w:rPr>
      </w:pPr>
      <w:r>
        <w:rPr>
          <w:rFonts w:ascii="Calibri" w:cs="Arial" w:hAnsi="Calibri"/>
          <w:color w:val="000000"/>
          <w:sz w:val="22"/>
          <w:szCs w:val="22"/>
        </w:rPr>
        <w:t>Em não havendo quantidade mínima fixada, deverá ser cotada a quantidade total prevista para o item.</w:t>
      </w:r>
    </w:p>
    <w:p>
      <w:pPr>
        <w:pStyle w:val="style0"/>
        <w:numPr>
          <w:ilvl w:val="2"/>
          <w:numId w:val="1"/>
        </w:numPr>
        <w:spacing w:after="120" w:before="120" w:line="276" w:lineRule="auto"/>
        <w:ind w:hanging="504" w:left="1922" w:right="0"/>
        <w:contextualSpacing w:val="false"/>
        <w:jc w:val="both"/>
        <w:rPr>
          <w:rFonts w:ascii="Calibri" w:cs="Arial" w:hAnsi="Calibri"/>
          <w:bCs/>
          <w:iCs/>
          <w:color w:val="000000"/>
          <w:sz w:val="22"/>
          <w:szCs w:val="22"/>
        </w:rPr>
      </w:pPr>
      <w:r>
        <w:rPr>
          <w:rFonts w:ascii="Calibri" w:cs="Arial" w:hAnsi="Calibri"/>
          <w:bCs/>
          <w:iCs/>
          <w:color w:val="000000"/>
          <w:sz w:val="22"/>
          <w:szCs w:val="22"/>
        </w:rPr>
        <w:t>Marca;</w:t>
      </w:r>
    </w:p>
    <w:p>
      <w:pPr>
        <w:pStyle w:val="style0"/>
        <w:numPr>
          <w:ilvl w:val="2"/>
          <w:numId w:val="1"/>
        </w:numPr>
        <w:spacing w:after="120" w:before="120" w:line="276" w:lineRule="auto"/>
        <w:ind w:hanging="504" w:left="1922" w:right="0"/>
        <w:contextualSpacing w:val="false"/>
        <w:jc w:val="both"/>
        <w:rPr>
          <w:rFonts w:ascii="Calibri" w:cs="Arial" w:hAnsi="Calibri"/>
          <w:bCs/>
          <w:iCs/>
          <w:color w:val="000000"/>
          <w:sz w:val="22"/>
          <w:szCs w:val="22"/>
        </w:rPr>
      </w:pPr>
      <w:r>
        <w:rPr>
          <w:rFonts w:ascii="Calibri" w:cs="Arial" w:hAnsi="Calibri"/>
          <w:bCs/>
          <w:iCs/>
          <w:color w:val="000000"/>
          <w:sz w:val="22"/>
          <w:szCs w:val="22"/>
        </w:rPr>
        <w:t xml:space="preserve">Fabricante; </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bCs/>
          <w:iCs/>
          <w:color w:val="000000"/>
          <w:sz w:val="22"/>
          <w:szCs w:val="22"/>
        </w:rPr>
        <w:t>Descrição detalhada do objeto: indicando, no que for aplicável</w:t>
      </w:r>
      <w:r>
        <w:rPr>
          <w:rFonts w:ascii="Calibri" w:cs="Arial" w:hAnsi="Calibri"/>
          <w:color w:val="000000"/>
          <w:sz w:val="22"/>
          <w:szCs w:val="22"/>
        </w:rPr>
        <w:t xml:space="preserve">, </w:t>
      </w:r>
      <w:r>
        <w:rPr>
          <w:rFonts w:ascii="Calibri" w:cs="Arial" w:hAnsi="Calibri"/>
          <w:i/>
          <w:color w:val="000000"/>
          <w:sz w:val="22"/>
          <w:szCs w:val="22"/>
        </w:rPr>
        <w:t>o modelo, prazo de validade ou de garantia;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Todas as especificações do objeto contidas na proposta vinculam o fornecedor registrado.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Nos valores propostos estarão inclusos todos os custos operacionais, encargos previdenciários, trabalhistas, tributários, comerciais e quaisquer outros que incidam direta ou indiretamente no fornecimento dos bens.</w:t>
      </w:r>
    </w:p>
    <w:p>
      <w:pPr>
        <w:pStyle w:val="style0"/>
        <w:numPr>
          <w:ilvl w:val="1"/>
          <w:numId w:val="1"/>
        </w:numPr>
        <w:tabs>
          <w:tab w:leader="none" w:pos="709" w:val="left"/>
          <w:tab w:leader="none" w:pos="851" w:val="left"/>
        </w:tabs>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prazo de validade da proposta não será inferior a 60 </w:t>
      </w:r>
      <w:r>
        <w:rPr>
          <w:rFonts w:ascii="Calibri" w:cs="Arial" w:hAnsi="Calibri"/>
          <w:bCs/>
          <w:iCs/>
          <w:color w:val="000000"/>
          <w:sz w:val="22"/>
          <w:szCs w:val="22"/>
        </w:rPr>
        <w:t>(sessenta) dias</w:t>
      </w:r>
      <w:r>
        <w:rPr>
          <w:rFonts w:ascii="Calibri" w:cs="Arial" w:hAnsi="Calibri"/>
          <w:color w:val="000000"/>
          <w:sz w:val="22"/>
          <w:szCs w:val="22"/>
        </w:rPr>
        <w:t xml:space="preserve">, a contar da data de sua apresentação. </w:t>
      </w:r>
    </w:p>
    <w:p>
      <w:pPr>
        <w:pStyle w:val="style84"/>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O licitante deverá declarar, para cada item, em campo próprio do sistema COMPRASNET, se o produto ofertado é manufaturado nacional beneficiado por um dos critérios de margem de preferência indicados no Termo de Referência.</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DAS PROPOSTAS E FORMULAÇÃO DE LANCES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 abertura da presente licitação dar-se-á em sessão pública, por meio de sistema eletrônico, na data, horário e local indicados neste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Pregoeiro verificará as propostas apresentadas, desclassificando desde logo aquelas que não estejam em conformidade com os requisitos estabelecidos neste Edital, forem omissas ou apresentarem irregularidades insanáveis.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desclassificação será sempre fundamentada e registrada no sistema, com acompanhamento em tempo real por todos os participantes.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não desclassificação da proposta não impede o seu julgamento definitivo em sentido contrário, levado a efeito na fase de aceitação.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sistema ordenará automaticamente as propostas classificadas, sendo que somente estas participarão da fase de lances.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sistema disponibilizará campo próprio para troca de mensagem entre o Pregoeiro e os licitantes.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O lance deverá ser ofertado pelo valor unitário.</w:t>
      </w:r>
    </w:p>
    <w:p>
      <w:pPr>
        <w:pStyle w:val="style84"/>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Os licitantes poderão oferecer lances sucessivos, observando o horário fixado para abertura da sessão e as regras estabelecidas no Edital.</w:t>
      </w:r>
    </w:p>
    <w:p>
      <w:pPr>
        <w:pStyle w:val="style84"/>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O intervalo mínimo de diferença de valores entre os lances, que incidirá tanto em relação aos lances intermediários quanto em relação à proposta que cobrir a melhor oferta deverá ser de R$ 0,03(tres centavos).</w:t>
      </w:r>
    </w:p>
    <w:p>
      <w:pPr>
        <w:pStyle w:val="style84"/>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Em caso de falha no sistema, os lances em desacordo com a norma deverão ser desconsiderados pelo pregoeiro, devendo a ocorrência ser comunicada imediatamente à Secretaria de Logística e Tecnologia da Informação.</w:t>
      </w:r>
    </w:p>
    <w:p>
      <w:pPr>
        <w:pStyle w:val="style84"/>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Na hipótese do subitem anterior, a ocorrência será registrada em campo próprio do sistema.</w:t>
      </w:r>
    </w:p>
    <w:p>
      <w:pPr>
        <w:pStyle w:val="style84"/>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licitante somente poderá oferecer lance inferior ao último por ele ofertado e registrado pelo sistema. </w:t>
      </w:r>
    </w:p>
    <w:p>
      <w:pPr>
        <w:pStyle w:val="style84"/>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O intervalo entre os lances enviados pelo mesmo licitante não poderá ser inferior a vinte (20) segundos e o intervalo entre lances não poderá ser inferior a três (3) segundos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Não serão aceitos dois ou mais lances de mesmo valor, prevalecendo aquele que for recebido e registrado em primeiro lugar.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Durante o transcurso da sessão pública, os licitantes serão informados, em tempo real, do valor do menor lance registrado, vedada a identificação do licitante.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No caso de desconexão com o Pregoeiro, no decorrer da etapa competitiva do Pregão, o sistema eletrônico poderá permanecer acessível aos licitantes para a recepção dos lances.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Se a desconexão perdurar por tempo superior a 10 (dez) minutos, a sessão será suspensa e terá reinício somente após comunicação expressa do Pregoeiro aos participantes.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pPr>
        <w:pStyle w:val="style0"/>
        <w:numPr>
          <w:ilvl w:val="1"/>
          <w:numId w:val="1"/>
        </w:numPr>
        <w:spacing w:after="120" w:before="120" w:line="276" w:lineRule="auto"/>
        <w:ind w:hanging="432" w:left="1141" w:right="0"/>
        <w:contextualSpacing w:val="false"/>
        <w:jc w:val="both"/>
        <w:rPr>
          <w:rFonts w:ascii="Calibri" w:cs="Arial" w:eastAsia="Zurich BT" w:hAnsi="Calibri"/>
          <w:bCs/>
          <w:color w:val="000000"/>
          <w:sz w:val="22"/>
          <w:szCs w:val="22"/>
        </w:rPr>
      </w:pPr>
      <w:r>
        <w:rPr>
          <w:rFonts w:ascii="Calibri" w:cs="Arial" w:hAnsi="Calibri"/>
          <w:color w:val="000000"/>
          <w:sz w:val="22"/>
          <w:szCs w:val="22"/>
          <w:lang w:eastAsia="en-US"/>
        </w:rPr>
        <w:t xml:space="preserve">Em relação aos itens não exclusivos a </w:t>
      </w:r>
      <w:r>
        <w:rPr>
          <w:rFonts w:ascii="Calibri" w:cs="Arial" w:hAnsi="Calibri"/>
          <w:bCs/>
          <w:color w:val="000000"/>
          <w:sz w:val="22"/>
          <w:szCs w:val="22"/>
          <w:lang w:eastAsia="en-US"/>
        </w:rPr>
        <w:t>microempresas e empresas de pequeno porte,</w:t>
      </w:r>
      <w:r>
        <w:rPr>
          <w:rFonts w:ascii="Calibri" w:cs="Arial" w:hAnsi="Calibri"/>
          <w:color w:val="000000"/>
          <w:sz w:val="22"/>
          <w:szCs w:val="22"/>
          <w:lang w:eastAsia="en-US"/>
        </w:rPr>
        <w:t xml:space="preserve"> uma vez encerrada a etapa de lances</w:t>
      </w:r>
      <w:r>
        <w:rPr>
          <w:rFonts w:ascii="Calibri" w:cs="Arial" w:eastAsia="Zurich BT" w:hAnsi="Calibri"/>
          <w:bCs/>
          <w:color w:val="000000"/>
          <w:sz w:val="22"/>
          <w:szCs w:val="22"/>
        </w:rPr>
        <w:t>,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arts. 44 e 45 da LC nº 123, de 2006, regulamentado pelo Decreto nº 8.538, de 2015.</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Nessas condições, caso a melhor oferta válida tenha sido apresentada por empresa de maior porte, as propostas de pessoas qualificadas como </w:t>
      </w:r>
      <w:r>
        <w:rPr>
          <w:rFonts w:ascii="Calibri" w:cs="Arial" w:eastAsia="Zurich BT" w:hAnsi="Calibri"/>
          <w:bCs/>
          <w:color w:val="000000"/>
          <w:sz w:val="22"/>
          <w:szCs w:val="22"/>
        </w:rPr>
        <w:t xml:space="preserve">microempresas ou empresas de pequeno porte </w:t>
      </w:r>
      <w:r>
        <w:rPr>
          <w:rFonts w:ascii="Calibri" w:cs="Arial" w:hAnsi="Calibri"/>
          <w:color w:val="000000"/>
          <w:sz w:val="22"/>
          <w:szCs w:val="22"/>
        </w:rPr>
        <w:t>que se encontrarem na faixa de até 5% (cinco por cento) acima da proposta ou lance de menor preço serão consideradas empatadas com a primeira colocada.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Caso a licitante qualificada como </w:t>
      </w:r>
      <w:r>
        <w:rPr>
          <w:rFonts w:ascii="Calibri" w:cs="Arial" w:eastAsia="Zurich BT" w:hAnsi="Calibri"/>
          <w:bCs/>
          <w:color w:val="000000"/>
          <w:sz w:val="22"/>
          <w:szCs w:val="22"/>
        </w:rPr>
        <w:t xml:space="preserve">microempresa ou empresa de pequeno porte </w:t>
      </w:r>
      <w:r>
        <w:rPr>
          <w:rFonts w:ascii="Calibri" w:cs="Arial" w:hAnsi="Calibri"/>
          <w:color w:val="000000"/>
          <w:sz w:val="22"/>
          <w:szCs w:val="22"/>
        </w:rPr>
        <w:t xml:space="preserve">melhor classificada desista ou não se manifeste no prazo estabelecido, serão convocadas as demais licitantes qualificadas como </w:t>
      </w:r>
      <w:r>
        <w:rPr>
          <w:rFonts w:ascii="Calibri" w:cs="Arial" w:eastAsia="Zurich BT" w:hAnsi="Calibri"/>
          <w:bCs/>
          <w:color w:val="000000"/>
          <w:sz w:val="22"/>
          <w:szCs w:val="22"/>
        </w:rPr>
        <w:t xml:space="preserve">microempresa ou empresa de pequeno porte </w:t>
      </w:r>
      <w:r>
        <w:rPr>
          <w:rFonts w:ascii="Calibri" w:cs="Arial" w:hAnsi="Calibri"/>
          <w:color w:val="000000"/>
          <w:sz w:val="22"/>
          <w:szCs w:val="22"/>
        </w:rPr>
        <w:t>que se encontrem naquele intervalo de 5% (cinco por cento), na ordem de classificação, para o exercício do mesmo direito, no prazo estabelecido no subitem anterior.</w:t>
      </w:r>
    </w:p>
    <w:p>
      <w:pPr>
        <w:pStyle w:val="style84"/>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Quando houver propostas beneficiadas com as margens de preferência em relação ao produto estrangeiro, o critério de desempate será aplicado exclusivamente entre as propostas que fizerem jus às margens de preferência, conforme regulamento.</w:t>
      </w:r>
    </w:p>
    <w:p>
      <w:pPr>
        <w:pStyle w:val="style84"/>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Em igualdade de condições, como critério de desempate, será assegurada preferência sucessivamente, aos bens e serviços:</w:t>
      </w:r>
    </w:p>
    <w:p>
      <w:pPr>
        <w:pStyle w:val="style84"/>
        <w:numPr>
          <w:ilvl w:val="3"/>
          <w:numId w:val="1"/>
        </w:numPr>
        <w:spacing w:after="120" w:before="120" w:line="276" w:lineRule="auto"/>
        <w:ind w:hanging="648" w:left="1728"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Produzidos ou prestados por empresas que comprovem cumprimento de reserva de cargos prevista em lei para pessoa com deficiência ou para reabilitado da Previdência Social e que atendam às regras de acessibilidade previstas na legislação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Ao presente certame não se aplica o sorteio como critério de desempate. Lances equivalentes não serão considerados iguais, vez que a ordem de apresentação das propostas pelos licitantes é utilizada como um dos critérios de classificação.</w:t>
      </w:r>
    </w:p>
    <w:p>
      <w:pPr>
        <w:pStyle w:val="style84"/>
        <w:numPr>
          <w:ilvl w:val="1"/>
          <w:numId w:val="1"/>
        </w:numPr>
        <w:spacing w:after="120" w:before="120" w:line="276" w:lineRule="auto"/>
        <w:ind w:hanging="432" w:left="1141" w:right="0"/>
        <w:contextualSpacing w:val="false"/>
        <w:jc w:val="both"/>
        <w:rPr>
          <w:rFonts w:ascii="Calibri" w:cs="Arial" w:eastAsia="Zurich BT" w:hAnsi="Calibri"/>
          <w:bCs/>
          <w:i/>
          <w:color w:val="000000"/>
          <w:sz w:val="22"/>
          <w:szCs w:val="22"/>
        </w:rPr>
      </w:pPr>
      <w:r>
        <w:rPr>
          <w:rFonts w:ascii="Calibri" w:cs="Arial" w:eastAsia="Zurich BT" w:hAnsi="Calibri"/>
          <w:bCs/>
          <w:i/>
          <w:color w:val="000000"/>
          <w:sz w:val="22"/>
          <w:szCs w:val="22"/>
        </w:rPr>
        <w:t>Para a aquisição de bens comuns de informática e automação, definidos no art. 16-A da Lei n° 8.248, de 1991, será assegurado o direito de preferência previsto no seu artigo 3º, conforme procedimento estabelecido nos artigos 5° e 8° do Decreto n° 7.174, de 2010.</w:t>
      </w:r>
    </w:p>
    <w:p>
      <w:pPr>
        <w:pStyle w:val="style84"/>
        <w:numPr>
          <w:ilvl w:val="2"/>
          <w:numId w:val="1"/>
        </w:numPr>
        <w:spacing w:after="120" w:before="120" w:line="276" w:lineRule="auto"/>
        <w:ind w:hanging="504" w:left="1922" w:right="0"/>
        <w:contextualSpacing w:val="false"/>
        <w:jc w:val="both"/>
        <w:rPr>
          <w:rFonts w:ascii="Calibri" w:cs="Arial" w:hAnsi="Calibri"/>
          <w:i/>
          <w:color w:val="000000"/>
          <w:sz w:val="22"/>
          <w:szCs w:val="22"/>
          <w:lang w:eastAsia="en-US"/>
        </w:rPr>
      </w:pPr>
      <w:r>
        <w:rPr>
          <w:rFonts w:ascii="Calibri" w:cs="Arial" w:hAnsi="Calibri"/>
          <w:i/>
          <w:color w:val="000000"/>
          <w:sz w:val="22"/>
          <w:szCs w:val="22"/>
          <w:lang w:eastAsia="en-US"/>
        </w:rPr>
        <w:t>Nas contratações de bens e serviços de informática e automação, nos termos da Lei nº 8.248, de 1991, as licitantes qualificadas como microempresas ou empresas de pequeno porte que fizerem jus ao direito de preferência previsto no Decreto nº 7.174, de 2010, terão prioridade no exercício desse benefício em relação às médias e às grandes empresas na mesma situação.</w:t>
      </w:r>
    </w:p>
    <w:p>
      <w:pPr>
        <w:pStyle w:val="style84"/>
        <w:numPr>
          <w:ilvl w:val="1"/>
          <w:numId w:val="1"/>
        </w:numPr>
        <w:spacing w:after="120" w:before="120" w:line="276" w:lineRule="auto"/>
        <w:ind w:hanging="432" w:left="1141" w:right="0"/>
        <w:contextualSpacing w:val="false"/>
        <w:jc w:val="both"/>
        <w:rPr>
          <w:rFonts w:ascii="Calibri" w:cs="Arial" w:hAnsi="Calibri"/>
          <w:i/>
          <w:color w:val="000000"/>
          <w:sz w:val="22"/>
          <w:szCs w:val="22"/>
          <w:lang w:eastAsia="en-US"/>
        </w:rPr>
      </w:pPr>
      <w:r>
        <w:rPr>
          <w:rFonts w:ascii="Calibri" w:cs="Arial" w:hAnsi="Calibri"/>
          <w:i/>
          <w:color w:val="000000"/>
          <w:sz w:val="22"/>
          <w:szCs w:val="22"/>
          <w:lang w:eastAsia="en-US"/>
        </w:rPr>
        <w:t>Quando aplicada a margem de preferência a que se refere o Decreto nº 7.546, de 2 de agosto de 2011, não se aplicará o desempate previsto no Decreto nº 7.174, de 2010.</w:t>
      </w:r>
    </w:p>
    <w:p>
      <w:pPr>
        <w:pStyle w:val="style84"/>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Para produtos abrangidos por margem de preferência, caso a proposta de menor preço não tenha por objeto produto manufaturado nacional, o sistema automaticamente indicará as propostas de produtos manufaturados nacionais que estão enquadradas dentro da referida margem, para fins de aceitação pelo Pregoeiro.</w:t>
      </w:r>
    </w:p>
    <w:p>
      <w:pPr>
        <w:pStyle w:val="style84"/>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 xml:space="preserve">Nesta situação, a proposta beneficiada pela aplicação da margem de preferência tornar-se-á a proposta classificada em primeiro lugar.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Ao final do procedimento, após o encerramento da etapa competitiva, os licitantes poderão reduzir seus preços ao valor da proposta do licitante mais bem classificado.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apresentação de novas propostas na forma deste item não prejudicará o resultado do certame em relação ao licitante mais bem classificado.</w:t>
      </w:r>
    </w:p>
    <w:p>
      <w:pPr>
        <w:pStyle w:val="style0"/>
        <w:numPr>
          <w:ilvl w:val="0"/>
          <w:numId w:val="1"/>
        </w:numPr>
        <w:spacing w:after="120" w:before="120" w:line="276" w:lineRule="auto"/>
        <w:ind w:hanging="360" w:left="360" w:right="0"/>
        <w:contextualSpacing w:val="false"/>
        <w:jc w:val="both"/>
        <w:rPr>
          <w:rFonts w:ascii="Calibri" w:cs="Arial" w:hAnsi="Calibri"/>
          <w:b/>
          <w:bCs/>
          <w:color w:val="000000"/>
          <w:sz w:val="22"/>
          <w:szCs w:val="22"/>
          <w:lang w:eastAsia="en-US"/>
        </w:rPr>
      </w:pPr>
      <w:r>
        <w:rPr>
          <w:rFonts w:ascii="Calibri" w:cs="Arial" w:hAnsi="Calibri"/>
          <w:b/>
          <w:bCs/>
          <w:color w:val="000000"/>
          <w:sz w:val="22"/>
          <w:szCs w:val="22"/>
          <w:lang w:eastAsia="en-US"/>
        </w:rPr>
        <w:t>DA ACEITABILIDADE DA PROPOSTA VENCEDORA.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lang w:eastAsia="en-US"/>
        </w:rPr>
        <w:t>Encerrada a etapa de lances e depois da verificação de possível empate, o Pregoeiro examinará a proposta classificada em primeiro lugar</w:t>
      </w:r>
      <w:r>
        <w:rPr>
          <w:rFonts w:ascii="Calibri" w:cs="Arial" w:hAnsi="Calibri"/>
          <w:color w:val="000000"/>
          <w:sz w:val="22"/>
          <w:szCs w:val="22"/>
        </w:rPr>
        <w:t xml:space="preserve"> quanto ao preço, a sua exequibilidade, bem como quanto ao cumprimento das especificações do objeto.</w:t>
      </w:r>
    </w:p>
    <w:p>
      <w:pPr>
        <w:pStyle w:val="style0"/>
        <w:numPr>
          <w:ilvl w:val="1"/>
          <w:numId w:val="1"/>
        </w:numPr>
        <w:spacing w:after="120" w:before="120" w:line="276" w:lineRule="auto"/>
        <w:ind w:hanging="432" w:left="1141"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Será desclassificada a proposta ou o lance vencedor com valor superior ao preço máximo fixado ou que apresentar preço manifestamente inexequível.</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color w:val="000000"/>
          <w:sz w:val="22"/>
          <w:szCs w:val="22"/>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Pr>
          <w:rFonts w:ascii="Calibri" w:cs="Arial" w:hAnsi="Calibri"/>
          <w:i/>
          <w:color w:val="000000"/>
          <w:sz w:val="22"/>
          <w:szCs w:val="22"/>
        </w:rPr>
        <w:t>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O Pregoeiro poderá convocar o licitante para enviar documento digital, por meio de funcionalidade disponível no sistema estabelecendo no “chat” prazo razoável para tanto, sob pena de não aceitação da proposta. </w:t>
      </w:r>
    </w:p>
    <w:p>
      <w:pPr>
        <w:pStyle w:val="style0"/>
        <w:numPr>
          <w:ilvl w:val="2"/>
          <w:numId w:val="1"/>
        </w:numPr>
        <w:tabs>
          <w:tab w:leader="none" w:pos="1440" w:val="left"/>
        </w:tabs>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pStyle w:val="style0"/>
        <w:numPr>
          <w:ilvl w:val="3"/>
          <w:numId w:val="1"/>
        </w:numPr>
        <w:spacing w:after="120" w:before="120" w:line="276" w:lineRule="auto"/>
        <w:ind w:hanging="648" w:left="172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O prazo estabelecido pelo Pregoeiro poderá ser prorrogado por </w:t>
      </w:r>
      <w:r>
        <w:rPr>
          <w:rFonts w:ascii="Calibri" w:cs="Arial" w:hAnsi="Calibri"/>
          <w:color w:val="000000"/>
          <w:sz w:val="22"/>
          <w:szCs w:val="22"/>
        </w:rPr>
        <w:t>solicitação escrita e justificada do licitante, formulada antes de</w:t>
      </w:r>
      <w:r>
        <w:rPr>
          <w:rFonts w:ascii="Calibri" w:cs="Arial" w:hAnsi="Calibri"/>
          <w:color w:val="000000"/>
          <w:sz w:val="22"/>
          <w:szCs w:val="22"/>
          <w:lang w:eastAsia="en-US"/>
        </w:rPr>
        <w:t xml:space="preserve"> findo o prazo estabelecido, e formalmente aceita pelo Pregoeiro. </w:t>
      </w:r>
    </w:p>
    <w:p>
      <w:pPr>
        <w:pStyle w:val="style0"/>
        <w:numPr>
          <w:ilvl w:val="1"/>
          <w:numId w:val="1"/>
        </w:numPr>
        <w:tabs>
          <w:tab w:leader="none" w:pos="1440" w:val="left"/>
        </w:tabs>
        <w:spacing w:after="120" w:before="120" w:line="276" w:lineRule="auto"/>
        <w:ind w:hanging="432" w:left="1141"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Caso a proposta classificada em primeiro lugar tenha se beneficiado da aplicação da margem de preferência, o Pregoeiro solicitará ao licitante que envie imediatamente, por meio eletrônico, com posterior encaminhamento por via postal, o documento comprobatório da caracterização do produto manufaturado nacional, nos termos do Decreto n° 8.184, de 2014.</w:t>
      </w:r>
    </w:p>
    <w:p>
      <w:pPr>
        <w:pStyle w:val="style0"/>
        <w:numPr>
          <w:ilvl w:val="1"/>
          <w:numId w:val="1"/>
        </w:numPr>
        <w:tabs>
          <w:tab w:leader="none" w:pos="1440" w:val="left"/>
        </w:tabs>
        <w:spacing w:after="120" w:before="120" w:line="276" w:lineRule="auto"/>
        <w:ind w:hanging="432" w:left="1141"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A comprovação prevista será feita:</w:t>
      </w:r>
    </w:p>
    <w:p>
      <w:pPr>
        <w:pStyle w:val="style0"/>
        <w:widowControl/>
        <w:numPr>
          <w:ilvl w:val="2"/>
          <w:numId w:val="1"/>
        </w:numPr>
        <w:tabs>
          <w:tab w:leader="none" w:pos="1440" w:val="left"/>
        </w:tabs>
        <w:suppressAutoHyphens w:val="true"/>
        <w:spacing w:after="120" w:before="120" w:line="276" w:lineRule="auto"/>
        <w:ind w:hanging="504" w:left="1922"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 xml:space="preserve">Por documento expedido para esta finalidade pelo Ministério da Ciência e Tecnologia ou pela SUFRAMA </w:t>
      </w:r>
    </w:p>
    <w:p>
      <w:pPr>
        <w:pStyle w:val="style0"/>
        <w:numPr>
          <w:ilvl w:val="1"/>
          <w:numId w:val="1"/>
        </w:numPr>
        <w:tabs>
          <w:tab w:leader="none" w:pos="1440" w:val="left"/>
        </w:tabs>
        <w:spacing w:after="120" w:before="120" w:line="276" w:lineRule="auto"/>
        <w:ind w:hanging="432" w:left="1141"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O licitante que não apresentar o documento comprobatório, ou cujo produto não atender aos regulamentos técnicos pertinentes e normas técnicas brasileiras aplicáveis, não poderá usufruir da aplicação da margem de preferência, sem prejuízo das penalidades cabíveis.</w:t>
      </w:r>
    </w:p>
    <w:p>
      <w:pPr>
        <w:pStyle w:val="style0"/>
        <w:numPr>
          <w:ilvl w:val="2"/>
          <w:numId w:val="1"/>
        </w:numPr>
        <w:tabs>
          <w:tab w:leader="none" w:pos="1440" w:val="left"/>
        </w:tabs>
        <w:spacing w:after="120" w:before="120" w:line="276" w:lineRule="auto"/>
        <w:ind w:hanging="504" w:left="1922"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Nessa hipótese, bem como em caso de inabilitação do licitante, as propostas serão reclassificadas, para fins de nova aplicação da margem de preferência.</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bCs/>
          <w:iCs/>
          <w:color w:val="000000"/>
          <w:sz w:val="22"/>
          <w:szCs w:val="22"/>
        </w:rPr>
        <w:t>Se a proposta ou lance vencedor for desclassificado, o Pregoeiro examinará a proposta ou lance subsequente, e, assim sucessivamente, na ordem de classificação.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Havendo necessidade, o Pregoeiro suspenderá a sessão, informando no “</w:t>
      </w:r>
      <w:r>
        <w:rPr>
          <w:rFonts w:ascii="Calibri" w:cs="Arial" w:hAnsi="Calibri"/>
          <w:i/>
          <w:color w:val="000000"/>
          <w:sz w:val="22"/>
          <w:szCs w:val="22"/>
          <w:lang w:eastAsia="en-US"/>
        </w:rPr>
        <w:t>chat</w:t>
      </w:r>
      <w:r>
        <w:rPr>
          <w:rFonts w:ascii="Calibri" w:cs="Arial" w:hAnsi="Calibri"/>
          <w:color w:val="000000"/>
          <w:sz w:val="22"/>
          <w:szCs w:val="22"/>
          <w:lang w:eastAsia="en-US"/>
        </w:rPr>
        <w:t>” a nova data e horário para a continuidade da mesma.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Pregoeiro poderá encaminhar, por meio do sistema eletrônico, contraproposta ao licitante que apresentou o lance mais vantajoso, com o fim de negociar a obtenção de melhor preço, vedada a negociação em condições diversas das previstas neste Edital.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Também nas hipóteses em que o Pregoeiro não aceitar a proposta e passar à subsequente, poderá negociar com o licitante para que seja obtido preço melhor.</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negociação será realizada por meio do sistema, podendo ser acompanhada pelos demais licitantes.</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color w:val="000000"/>
          <w:sz w:val="22"/>
          <w:szCs w:val="22"/>
          <w:lang w:eastAsia="en-US"/>
        </w:rPr>
        <w:t>Nos itens não exclusivos a microempresas, empresas de pequeno porte e sociedades cooperativas, s</w:t>
      </w:r>
      <w:r>
        <w:rPr>
          <w:rFonts w:ascii="Calibri" w:cs="Arial" w:hAnsi="Calibri"/>
          <w:color w:val="000000"/>
          <w:sz w:val="22"/>
          <w:szCs w:val="22"/>
        </w:rPr>
        <w:t xml:space="preserve">empre que a proposta não for aceita, e antes de o pregoeiro passar à subsequente, haverá nova verificação, pelo sistema, da eventual ocorrência do empate ficto, previsto nos artigos </w:t>
      </w:r>
      <w:r>
        <w:rPr>
          <w:rFonts w:ascii="Calibri" w:cs="Arial" w:hAnsi="Calibri"/>
          <w:bCs/>
          <w:color w:val="000000"/>
          <w:sz w:val="22"/>
          <w:szCs w:val="22"/>
        </w:rPr>
        <w:t>44 e 45 da LC nº 123, de 2006, seguindo-se a disciplina antes estabelecida, se for o caso.</w:t>
      </w:r>
    </w:p>
    <w:p>
      <w:pPr>
        <w:pStyle w:val="style0"/>
        <w:numPr>
          <w:ilvl w:val="1"/>
          <w:numId w:val="1"/>
        </w:numPr>
        <w:spacing w:after="120" w:before="0" w:line="276" w:lineRule="auto"/>
        <w:ind w:hanging="432" w:left="1141" w:right="-17"/>
        <w:contextualSpacing w:val="false"/>
        <w:jc w:val="both"/>
        <w:rPr>
          <w:rFonts w:ascii="Calibri" w:cs="Arial" w:hAnsi="Calibri"/>
          <w:bCs/>
          <w:color w:val="000000"/>
          <w:sz w:val="22"/>
          <w:szCs w:val="22"/>
        </w:rPr>
      </w:pPr>
      <w:r>
        <w:rPr>
          <w:rFonts w:ascii="Calibri" w:cs="Arial" w:hAnsi="Calibri"/>
          <w:color w:val="000000"/>
          <w:sz w:val="22"/>
          <w:szCs w:val="22"/>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Pr>
          <w:rFonts w:ascii="Calibri" w:cs="Arial" w:hAnsi="Calibri"/>
          <w:bCs/>
          <w:color w:val="000000"/>
          <w:sz w:val="22"/>
          <w:szCs w:val="22"/>
        </w:rPr>
        <w:t>observado o preço da proposta vencedora.</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 xml:space="preserve">DA HABILITAÇÃO </w:t>
      </w:r>
    </w:p>
    <w:p>
      <w:pPr>
        <w:pStyle w:val="style84"/>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lang w:eastAsia="ar-SA"/>
        </w:rPr>
        <w:t>Como condição prévia ao exame da documentação de habilitação</w:t>
      </w:r>
      <w:r>
        <w:rPr>
          <w:rFonts w:ascii="Calibri" w:cs="Arial" w:hAnsi="Calibri"/>
          <w:color w:val="000000"/>
          <w:sz w:val="22"/>
          <w:szCs w:val="22"/>
        </w:rPr>
        <w:t xml:space="preserve"> do licitante detentor da proposta classificada em primeiro lugar</w:t>
      </w:r>
      <w:r>
        <w:rPr>
          <w:rFonts w:ascii="Calibri" w:cs="Arial" w:hAnsi="Calibri"/>
          <w:color w:val="000000"/>
          <w:sz w:val="22"/>
          <w:szCs w:val="22"/>
          <w:lang w:eastAsia="ar-SA"/>
        </w:rPr>
        <w:t xml:space="preserve">, </w:t>
      </w:r>
      <w:r>
        <w:rPr>
          <w:rFonts w:ascii="Calibri" w:cs="Arial" w:hAnsi="Calibri"/>
          <w:color w:val="000000"/>
          <w:sz w:val="22"/>
          <w:szCs w:val="22"/>
        </w:rPr>
        <w:t xml:space="preserve">o Pregoeiro </w:t>
      </w:r>
      <w:r>
        <w:rPr>
          <w:rFonts w:ascii="Calibri" w:cs="Arial" w:hAnsi="Calibri"/>
          <w:color w:val="000000"/>
          <w:sz w:val="22"/>
          <w:szCs w:val="22"/>
          <w:lang w:eastAsia="ar-SA"/>
        </w:rPr>
        <w:t>verificará o eventual descumprimento das condições de participação, especialmente quanto à</w:t>
      </w:r>
      <w:r>
        <w:rPr>
          <w:rFonts w:ascii="Calibri" w:cs="Arial" w:hAnsi="Calibri"/>
          <w:color w:val="000000"/>
          <w:sz w:val="22"/>
          <w:szCs w:val="22"/>
        </w:rPr>
        <w:t xml:space="preserve"> existência de sanção que impeça a participação no certame ou a futura contratação, mediante a consulta aos seguintes cadastros:</w:t>
      </w:r>
    </w:p>
    <w:p>
      <w:pPr>
        <w:pStyle w:val="style84"/>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SICAF;</w:t>
      </w:r>
    </w:p>
    <w:p>
      <w:pPr>
        <w:pStyle w:val="style84"/>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Cadastro Nacional de Empresas Inidôneas e Suspensas – CEIS, mantido pela Controladoria-Geral da União (</w:t>
      </w:r>
      <w:hyperlink r:id="rId3">
        <w:r>
          <w:rPr>
            <w:rStyle w:val="style20"/>
            <w:rFonts w:ascii="Calibri" w:cs="Arial" w:hAnsi="Calibri"/>
            <w:color w:val="000000"/>
            <w:sz w:val="22"/>
            <w:szCs w:val="22"/>
            <w:u w:val="single"/>
          </w:rPr>
          <w:t>www.portaldatransparencia.gov.br/ceis</w:t>
        </w:r>
      </w:hyperlink>
      <w:r>
        <w:rPr>
          <w:rFonts w:ascii="Calibri" w:cs="Arial" w:hAnsi="Calibri"/>
          <w:color w:val="000000"/>
          <w:sz w:val="22"/>
          <w:szCs w:val="22"/>
        </w:rPr>
        <w:t>);</w:t>
      </w:r>
    </w:p>
    <w:p>
      <w:pPr>
        <w:pStyle w:val="style84"/>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bCs/>
          <w:color w:val="000000"/>
          <w:sz w:val="22"/>
          <w:szCs w:val="22"/>
        </w:rPr>
        <w:t>Cadastro Nacional de Condenações Cíveis por Atos de Improbidade Administrativa, mantido pelo Conselho Nacional de Justiça</w:t>
      </w:r>
      <w:r>
        <w:rPr>
          <w:rFonts w:ascii="Calibri" w:cs="Arial" w:hAnsi="Calibri"/>
          <w:color w:val="000000"/>
          <w:sz w:val="22"/>
          <w:szCs w:val="22"/>
        </w:rPr>
        <w:t xml:space="preserve"> (</w:t>
      </w:r>
      <w:hyperlink r:id="rId4">
        <w:r>
          <w:rPr>
            <w:rStyle w:val="style20"/>
            <w:rFonts w:ascii="Calibri" w:cs="Arial" w:hAnsi="Calibri"/>
            <w:color w:val="000000"/>
            <w:sz w:val="22"/>
            <w:szCs w:val="22"/>
            <w:u w:val="single"/>
          </w:rPr>
          <w:t>www.</w:t>
        </w:r>
        <w:r>
          <w:rPr>
            <w:rStyle w:val="style20"/>
            <w:rFonts w:ascii="Calibri" w:cs="Arial" w:hAnsi="Calibri"/>
            <w:bCs/>
            <w:color w:val="000000"/>
            <w:sz w:val="22"/>
            <w:szCs w:val="22"/>
            <w:u w:val="single"/>
          </w:rPr>
          <w:t>cnj</w:t>
        </w:r>
        <w:r>
          <w:rPr>
            <w:rStyle w:val="style20"/>
            <w:rFonts w:ascii="Calibri" w:cs="Arial" w:hAnsi="Calibri"/>
            <w:color w:val="000000"/>
            <w:sz w:val="22"/>
            <w:szCs w:val="22"/>
            <w:u w:val="single"/>
          </w:rPr>
          <w:t>.jus.br/</w:t>
        </w:r>
        <w:r>
          <w:rPr>
            <w:rStyle w:val="style20"/>
            <w:rFonts w:ascii="Calibri" w:cs="Arial" w:hAnsi="Calibri"/>
            <w:bCs/>
            <w:color w:val="000000"/>
            <w:sz w:val="22"/>
            <w:szCs w:val="22"/>
            <w:u w:val="single"/>
          </w:rPr>
          <w:t>improbidade</w:t>
        </w:r>
        <w:r>
          <w:rPr>
            <w:rStyle w:val="style20"/>
            <w:rFonts w:ascii="Calibri" w:cs="Arial" w:hAnsi="Calibri"/>
            <w:color w:val="000000"/>
            <w:sz w:val="22"/>
            <w:szCs w:val="22"/>
            <w:u w:val="single"/>
          </w:rPr>
          <w:t>_adm/consultar_requerido.php</w:t>
        </w:r>
      </w:hyperlink>
      <w:r>
        <w:rPr>
          <w:rFonts w:ascii="Calibri" w:cs="Arial" w:hAnsi="Calibri"/>
          <w:color w:val="000000"/>
          <w:sz w:val="22"/>
          <w:szCs w:val="22"/>
        </w:rPr>
        <w:t>).</w:t>
      </w:r>
    </w:p>
    <w:p>
      <w:pPr>
        <w:pStyle w:val="style84"/>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Lista de Inidôneos, mantida pelo Tribunal de Contas da União – TCU;</w:t>
      </w:r>
    </w:p>
    <w:p>
      <w:pPr>
        <w:pStyle w:val="style84"/>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style84"/>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Constatada a existência de sanção, o Pregoeiro reputará o licitante inabilitado, por falta de condição de participação.</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 xml:space="preserve">O Pregoeiro consultará o Sistema de Cadastro Unificado de Fornecedores – SICAF, em relação à habilitação jurídica e à regularidade fiscal e trabalhista, conforme disposto nos arts. 4º, </w:t>
      </w:r>
      <w:r>
        <w:rPr>
          <w:rFonts w:ascii="Calibri" w:cs="Arial" w:hAnsi="Calibri"/>
          <w:bCs/>
          <w:i/>
          <w:color w:val="000000"/>
          <w:sz w:val="22"/>
          <w:szCs w:val="22"/>
        </w:rPr>
        <w:t>caput</w:t>
      </w:r>
      <w:r>
        <w:rPr>
          <w:rFonts w:ascii="Calibri" w:cs="Arial" w:hAnsi="Calibri"/>
          <w:bCs/>
          <w:color w:val="000000"/>
          <w:sz w:val="22"/>
          <w:szCs w:val="22"/>
        </w:rPr>
        <w:t>, 8º, § 3º, 13, 14 e 43, III da Instrução Normativa SLTI/MPOG nº 2, de 2010.</w:t>
      </w:r>
    </w:p>
    <w:p>
      <w:pPr>
        <w:pStyle w:val="style0"/>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color w:val="000000"/>
          <w:sz w:val="22"/>
          <w:szCs w:val="22"/>
        </w:rPr>
        <w:t xml:space="preserve">Também poderão ser consultados </w:t>
      </w:r>
      <w:r>
        <w:rPr>
          <w:rFonts w:ascii="Calibri" w:cs="Arial" w:hAnsi="Calibri"/>
          <w:bCs/>
          <w:color w:val="000000"/>
          <w:sz w:val="22"/>
          <w:szCs w:val="22"/>
        </w:rPr>
        <w:t xml:space="preserve">os sítios oficiais emissores de certidões, especialmente quando </w:t>
      </w:r>
      <w:r>
        <w:rPr>
          <w:rFonts w:ascii="Calibri" w:cs="Arial" w:hAnsi="Calibri"/>
          <w:color w:val="000000"/>
          <w:sz w:val="22"/>
          <w:szCs w:val="22"/>
        </w:rPr>
        <w:t>o licitante esteja com alguma documentação vencida junto ao SICAF</w:t>
      </w:r>
      <w:r>
        <w:rPr>
          <w:rFonts w:ascii="Calibri" w:cs="Arial" w:hAnsi="Calibri"/>
          <w:bCs/>
          <w:color w:val="000000"/>
          <w:sz w:val="22"/>
          <w:szCs w:val="22"/>
        </w:rPr>
        <w:t>.</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Caso o Pregoeiro não logre êxito em obter a certidão correspondente através do sítio oficial, ou na hipótese de se encontrar vencida no referido sistema</w:t>
      </w:r>
      <w:r>
        <w:rPr>
          <w:rFonts w:ascii="Calibri" w:cs="Arial" w:hAnsi="Calibri"/>
          <w:b/>
          <w:color w:val="000000"/>
          <w:sz w:val="22"/>
          <w:szCs w:val="22"/>
          <w:u w:val="single"/>
        </w:rPr>
        <w:t>,</w:t>
      </w:r>
      <w:r>
        <w:rPr>
          <w:rFonts w:ascii="Calibri" w:cs="Arial" w:hAnsi="Calibri"/>
          <w:color w:val="000000"/>
          <w:sz w:val="22"/>
          <w:szCs w:val="22"/>
        </w:rPr>
        <w:t xml:space="preserve"> o licitante será convocado a encaminhar, no prazo de 24 </w:t>
      </w:r>
      <w:r>
        <w:rPr>
          <w:rFonts w:ascii="Calibri" w:cs="Arial" w:hAnsi="Calibri"/>
          <w:bCs/>
          <w:color w:val="000000"/>
          <w:sz w:val="22"/>
          <w:szCs w:val="22"/>
        </w:rPr>
        <w:t>(vinte e quatro) horas</w:t>
      </w:r>
      <w:r>
        <w:rPr>
          <w:rFonts w:ascii="Calibri" w:cs="Arial" w:hAnsi="Calibri"/>
          <w:color w:val="000000"/>
          <w:sz w:val="22"/>
          <w:szCs w:val="22"/>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 e trabalhista</w:t>
      </w:r>
      <w:r>
        <w:rPr>
          <w:rFonts w:ascii="Calibri" w:cs="Arial" w:hAnsi="Calibri"/>
          <w:color w:val="000000"/>
          <w:sz w:val="22"/>
          <w:szCs w:val="22"/>
        </w:rPr>
        <w:t>, nas condições seguintes</w:t>
      </w:r>
      <w:r>
        <w:rPr>
          <w:rFonts w:ascii="Calibri" w:cs="Arial" w:hAnsi="Calibri"/>
          <w:bCs/>
          <w:color w:val="000000"/>
          <w:sz w:val="22"/>
          <w:szCs w:val="22"/>
        </w:rPr>
        <w:t>:</w:t>
      </w:r>
    </w:p>
    <w:p>
      <w:pPr>
        <w:pStyle w:val="style0"/>
        <w:numPr>
          <w:ilvl w:val="1"/>
          <w:numId w:val="1"/>
        </w:numPr>
        <w:spacing w:after="120" w:before="120" w:line="276" w:lineRule="auto"/>
        <w:ind w:hanging="432" w:left="1141" w:right="0"/>
        <w:contextualSpacing w:val="false"/>
        <w:jc w:val="both"/>
        <w:rPr>
          <w:rFonts w:ascii="Calibri" w:cs="Arial" w:hAnsi="Calibri"/>
          <w:b/>
          <w:bCs/>
          <w:color w:val="000000"/>
          <w:sz w:val="22"/>
          <w:szCs w:val="22"/>
        </w:rPr>
      </w:pPr>
      <w:r>
        <w:rPr>
          <w:rFonts w:ascii="Calibri" w:cs="Arial" w:hAnsi="Calibri"/>
          <w:b/>
          <w:bCs/>
          <w:color w:val="000000"/>
          <w:sz w:val="22"/>
          <w:szCs w:val="22"/>
        </w:rPr>
        <w:t xml:space="preserve">Habilitação jurídica: </w:t>
      </w:r>
    </w:p>
    <w:p>
      <w:pPr>
        <w:pStyle w:val="style84"/>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empresário individual: inscrição no Registro Público de Empresas Mercantis, a cargo da Junta Comercial da respectiva sede;</w:t>
      </w:r>
    </w:p>
    <w:p>
      <w:pPr>
        <w:pStyle w:val="style84"/>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pPr>
        <w:pStyle w:val="style84"/>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style84"/>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sociedade simples: inscrição do ato constitutivo no Registro Civil das Pessoas Jurídicas do local de sua sede, acompanhada de prova da indicação dos seus administradores;</w:t>
      </w:r>
    </w:p>
    <w:p>
      <w:pPr>
        <w:pStyle w:val="style84"/>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pPr>
        <w:pStyle w:val="style84"/>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pStyle w:val="style84"/>
        <w:numPr>
          <w:ilvl w:val="2"/>
          <w:numId w:val="1"/>
        </w:numPr>
        <w:shd w:fill="FFFFFF" w:val="clea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empresa ou sociedade estrangeira em funcionamento no País: decreto de autorização;</w:t>
      </w:r>
    </w:p>
    <w:p>
      <w:pPr>
        <w:pStyle w:val="style84"/>
        <w:numPr>
          <w:ilvl w:val="2"/>
          <w:numId w:val="1"/>
        </w:numPr>
        <w:shd w:fill="FFFFFF" w:val="clear"/>
        <w:spacing w:after="120" w:before="120" w:line="276" w:lineRule="auto"/>
        <w:ind w:hanging="504" w:left="1922" w:right="0"/>
        <w:contextualSpacing/>
        <w:jc w:val="both"/>
        <w:rPr>
          <w:rFonts w:ascii="Calibri" w:cs="Arial" w:hAnsi="Calibri"/>
          <w:bCs/>
          <w:color w:val="000000"/>
          <w:sz w:val="22"/>
          <w:szCs w:val="22"/>
        </w:rPr>
      </w:pPr>
      <w:r>
        <w:rPr>
          <w:rFonts w:ascii="Calibri" w:cs="Arial" w:hAnsi="Calibri"/>
          <w:bCs/>
          <w:color w:val="000000"/>
          <w:sz w:val="22"/>
          <w:szCs w:val="22"/>
        </w:rPr>
        <w:t>Os documentos acima deverão estar acompanhados de todas as alterações ou da consolidação respectiva;</w:t>
      </w:r>
    </w:p>
    <w:p>
      <w:pPr>
        <w:pStyle w:val="style0"/>
        <w:numPr>
          <w:ilvl w:val="1"/>
          <w:numId w:val="1"/>
        </w:numPr>
        <w:spacing w:after="120" w:before="120" w:line="276" w:lineRule="auto"/>
        <w:ind w:hanging="432" w:left="1141" w:right="0"/>
        <w:contextualSpacing w:val="false"/>
        <w:jc w:val="both"/>
        <w:rPr>
          <w:rFonts w:ascii="Calibri" w:cs="Arial" w:hAnsi="Calibri"/>
          <w:b/>
          <w:bCs/>
          <w:color w:val="000000"/>
          <w:sz w:val="22"/>
          <w:szCs w:val="22"/>
        </w:rPr>
      </w:pPr>
      <w:r>
        <w:rPr>
          <w:rFonts w:ascii="Calibri" w:cs="Arial" w:hAnsi="Calibri"/>
          <w:b/>
          <w:bCs/>
          <w:color w:val="000000"/>
          <w:sz w:val="22"/>
          <w:szCs w:val="22"/>
        </w:rPr>
        <w:t>Regularidade fiscal e trabalhista: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inscrição no Cadastro Nacional de Pessoas Jurídicas ou no Cadastro de Pessoas Físicas, conforme o caso;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regularidade com o Fundo de Garantia do Tempo de Serviço (FGTS)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pStyle w:val="style0"/>
        <w:numPr>
          <w:ilvl w:val="2"/>
          <w:numId w:val="1"/>
        </w:numPr>
        <w:tabs>
          <w:tab w:leader="none" w:pos="1440" w:val="left"/>
        </w:tabs>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bidi="pt-BR" w:eastAsia="en-US"/>
        </w:rPr>
        <w:t xml:space="preserve">Caso o licitante detentor do menor preço seja qualificado como microempresa ou empresa de pequeno porte </w:t>
      </w:r>
      <w:r>
        <w:rPr>
          <w:rFonts w:ascii="Calibri" w:cs="Arial" w:hAnsi="Calibri"/>
          <w:color w:val="000000"/>
          <w:sz w:val="22"/>
          <w:szCs w:val="22"/>
          <w:lang w:eastAsia="en-US"/>
        </w:rPr>
        <w:t>deverá apresentar toda a documentação exigida para efeito de comprovação de regularidade fiscal, mesmo que esta apresente alguma restrição, sob pena de inabilitação.</w:t>
      </w:r>
    </w:p>
    <w:p>
      <w:pPr>
        <w:pStyle w:val="style84"/>
        <w:numPr>
          <w:ilvl w:val="1"/>
          <w:numId w:val="1"/>
        </w:numPr>
        <w:tabs>
          <w:tab w:leader="none" w:pos="1440" w:val="left"/>
        </w:tabs>
        <w:spacing w:after="120" w:before="120" w:line="276" w:lineRule="auto"/>
        <w:ind w:hanging="432" w:left="1141" w:right="0"/>
        <w:contextualSpacing/>
        <w:jc w:val="both"/>
        <w:rPr>
          <w:rFonts w:ascii="Calibri" w:cs="Arial" w:hAnsi="Calibri"/>
          <w:bCs/>
          <w:color w:val="000000"/>
          <w:sz w:val="22"/>
          <w:szCs w:val="22"/>
        </w:rPr>
      </w:pPr>
      <w:r>
        <w:rPr>
          <w:rFonts w:ascii="Calibri" w:cs="Arial" w:hAnsi="Calibri"/>
          <w:bCs/>
          <w:color w:val="000000"/>
          <w:sz w:val="22"/>
          <w:szCs w:val="22"/>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 xml:space="preserve">Os documentos exigidos para habilitação relacionados nos subitens acima, deverão ser apresentados em meio digital pelos licitantes, por meio de funcionalidade presente no sistema (upload), no prazo de </w:t>
      </w:r>
      <w:r>
        <w:rPr>
          <w:rFonts w:ascii="Calibri" w:cs="Arial" w:hAnsi="Calibri"/>
          <w:b/>
          <w:bCs/>
          <w:color w:val="000000"/>
          <w:sz w:val="22"/>
          <w:szCs w:val="22"/>
          <w:shd w:fill="FFFF00" w:val="clear"/>
        </w:rPr>
        <w:t>2 (duas) horas</w:t>
      </w:r>
      <w:r>
        <w:rPr>
          <w:rFonts w:ascii="Calibri" w:cs="Arial" w:hAnsi="Calibri"/>
          <w:bCs/>
          <w:color w:val="000000"/>
          <w:sz w:val="22"/>
          <w:szCs w:val="22"/>
        </w:rPr>
        <w:t xml:space="preserve">, após solicitação do Pregoeiro no sistema eletrônico.  Somente mediante autorização do Pregoeiro e em caso de indisponibilidade do sistema, será aceito o envio da documentação por meio do e-mail </w:t>
      </w:r>
      <w:hyperlink r:id="rId5">
        <w:r>
          <w:rPr>
            <w:rStyle w:val="style20"/>
            <w:rFonts w:ascii="Calibri" w:cs="Arial" w:hAnsi="Calibri"/>
            <w:bCs/>
            <w:color w:val="000000"/>
            <w:sz w:val="22"/>
            <w:szCs w:val="22"/>
          </w:rPr>
          <w:t>cpl@svc.ifmt.edu.br</w:t>
        </w:r>
      </w:hyperlink>
      <w:r>
        <w:rPr>
          <w:rFonts w:ascii="Calibri" w:cs="Arial" w:hAnsi="Calibri"/>
          <w:bCs/>
          <w:color w:val="000000"/>
          <w:sz w:val="22"/>
          <w:szCs w:val="22"/>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05 (cinco) dias, após encerrado o prazo para o encaminhamento via funcionalidade do sistema (upload) ou e-mail.</w:t>
      </w:r>
    </w:p>
    <w:p>
      <w:pPr>
        <w:pStyle w:val="style84"/>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Não serão aceitos documentos com indicação de CNPJ/CPF diferentes, salvo aqueles legalmente permitidos.</w:t>
      </w:r>
    </w:p>
    <w:p>
      <w:pPr>
        <w:pStyle w:val="style84"/>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A existência de restrição relativamente à regularidade fiscal não impede que a licitante qualificada como microempresa ou empresa de pequeno porte seja declarada vencedora, uma vez que atenda a todas as demais exigências do edital.</w:t>
      </w:r>
    </w:p>
    <w:p>
      <w:pPr>
        <w:pStyle w:val="style84"/>
        <w:numPr>
          <w:ilvl w:val="2"/>
          <w:numId w:val="3"/>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A declaração do vencedor acontecerá no momento imediatamente posterior à fase de habilitação.</w:t>
      </w:r>
    </w:p>
    <w:p>
      <w:pPr>
        <w:pStyle w:val="style84"/>
        <w:numPr>
          <w:ilvl w:val="1"/>
          <w:numId w:val="3"/>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bookmarkStart w:id="1" w:name="_GoBack"/>
      <w:bookmarkEnd w:id="1"/>
      <w:r>
        <w:rPr>
          <w:rFonts w:ascii="Calibri" w:cs="Arial" w:hAnsi="Calibri"/>
          <w:bCs/>
          <w:color w:val="000000"/>
          <w:sz w:val="22"/>
          <w:szCs w:val="22"/>
        </w:rPr>
        <w:t>.</w:t>
      </w:r>
    </w:p>
    <w:p>
      <w:pPr>
        <w:pStyle w:val="style84"/>
        <w:numPr>
          <w:ilvl w:val="1"/>
          <w:numId w:val="3"/>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A não-regularização fiscal no prazo previsto no subitem anterior acarretará a inabilitação do licitante, sem prejuízo das sanções previstas neste Edital, com a reabertura da sessão pública.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Havendo necessidade de analisar minuciosamente os documentos exigidos, o Pregoeiro suspenderá a sessão, informando no “chat” a nova data e horário para a continuidade da mesma.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rPr>
        <w:t>Será inabilitado o licitante que não comprovar sua habilitação, deixar de apresentar quaisquer dos documentos exigidos para a habilitação, ou apresentá-los em desacordo com o e</w:t>
      </w:r>
      <w:r>
        <w:rPr>
          <w:rFonts w:ascii="Calibri" w:cs="Arial" w:hAnsi="Calibri"/>
          <w:color w:val="000000"/>
          <w:sz w:val="22"/>
          <w:szCs w:val="22"/>
          <w:lang w:eastAsia="en-US"/>
        </w:rPr>
        <w:t>stabelecido neste Edital.</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lang w:eastAsia="en-US"/>
        </w:rPr>
      </w:pPr>
      <w:r>
        <w:rPr>
          <w:rFonts w:ascii="Calibri" w:cs="Arial" w:hAnsi="Calibri"/>
          <w:color w:val="000000"/>
          <w:sz w:val="22"/>
          <w:szCs w:val="22"/>
          <w:lang w:eastAsia="en-US"/>
        </w:rPr>
        <w:t xml:space="preserve">Nos itens não exclusivos a microempresas, empresas de pequeno porte e sociedades cooperativas, em havendo inabilitação, haverá nova verificação, pelo sistema, da eventual ocorrência do empate ficto, previsto nos artigos </w:t>
      </w:r>
      <w:r>
        <w:rPr>
          <w:rFonts w:ascii="Calibri" w:cs="Arial" w:hAnsi="Calibri"/>
          <w:bCs/>
          <w:color w:val="000000"/>
          <w:sz w:val="22"/>
          <w:szCs w:val="22"/>
          <w:lang w:eastAsia="en-US"/>
        </w:rPr>
        <w:t>44 e 45 da LC nº 123, de 2006, seguindo-se a disciplina antes estabelecida para aceitação da proposta subsequente.</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Da sessão pública do Pregão divulgar-se-á Ata no sistema eletrônico.</w:t>
      </w:r>
    </w:p>
    <w:p>
      <w:pPr>
        <w:pStyle w:val="style94"/>
        <w:numPr>
          <w:ilvl w:val="0"/>
          <w:numId w:val="1"/>
        </w:numPr>
        <w:ind w:hanging="360" w:left="360" w:right="0"/>
        <w:rPr>
          <w:rFonts w:ascii="Calibri" w:cs="Arial" w:hAnsi="Calibri"/>
          <w:color w:val="000000"/>
          <w:sz w:val="22"/>
          <w:szCs w:val="22"/>
          <w:lang w:eastAsia="en-US"/>
        </w:rPr>
      </w:pPr>
      <w:r>
        <w:rPr>
          <w:rFonts w:ascii="Calibri" w:cs="Arial" w:hAnsi="Calibri"/>
          <w:color w:val="000000"/>
          <w:sz w:val="22"/>
          <w:szCs w:val="22"/>
          <w:lang w:eastAsia="en-US"/>
        </w:rPr>
        <w:t>DA REABERTURA DA SESSÃO PÚBLICA</w:t>
      </w:r>
    </w:p>
    <w:p>
      <w:pPr>
        <w:pStyle w:val="style94"/>
        <w:keepNext/>
        <w:keepLines w:val="false"/>
        <w:numPr>
          <w:ilvl w:val="1"/>
          <w:numId w:val="1"/>
        </w:numPr>
        <w:spacing w:after="120" w:before="120" w:line="276" w:lineRule="auto"/>
        <w:ind w:hanging="432" w:left="1141"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A sessão pública poderá ser reaberta:</w:t>
      </w:r>
    </w:p>
    <w:p>
      <w:pPr>
        <w:pStyle w:val="style94"/>
        <w:keepNext/>
        <w:keepLines w:val="false"/>
        <w:numPr>
          <w:ilvl w:val="2"/>
          <w:numId w:val="1"/>
        </w:numPr>
        <w:spacing w:after="120" w:before="120" w:line="276" w:lineRule="auto"/>
        <w:ind w:hanging="504" w:left="1922"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style94"/>
        <w:keepNext/>
        <w:keepLines w:val="false"/>
        <w:numPr>
          <w:ilvl w:val="2"/>
          <w:numId w:val="1"/>
        </w:numPr>
        <w:spacing w:after="120" w:before="120" w:line="276" w:lineRule="auto"/>
        <w:ind w:hanging="504" w:left="1922"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pPr>
        <w:pStyle w:val="style94"/>
        <w:keepNext/>
        <w:keepLines w:val="false"/>
        <w:numPr>
          <w:ilvl w:val="1"/>
          <w:numId w:val="1"/>
        </w:numPr>
        <w:spacing w:after="120" w:before="120" w:line="276" w:lineRule="auto"/>
        <w:ind w:hanging="432" w:left="1141"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Todos os licitantes remanescentes deverão ser convocados para acompanhar a sessão reaberta.</w:t>
      </w:r>
    </w:p>
    <w:p>
      <w:pPr>
        <w:pStyle w:val="style94"/>
        <w:keepNext/>
        <w:keepLines w:val="false"/>
        <w:numPr>
          <w:ilvl w:val="2"/>
          <w:numId w:val="1"/>
        </w:numPr>
        <w:spacing w:after="120" w:before="120" w:line="276" w:lineRule="auto"/>
        <w:ind w:hanging="504" w:left="1922"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A convocação se dará por meio do sistema eletrônico (“chat”), e-mail, ou, ainda, fac-símile, de acordo com a fase do procedimento licitatório.</w:t>
      </w:r>
    </w:p>
    <w:p>
      <w:pPr>
        <w:pStyle w:val="style84"/>
        <w:numPr>
          <w:ilvl w:val="0"/>
          <w:numId w:val="1"/>
        </w:numPr>
        <w:spacing w:after="120" w:before="120" w:line="276" w:lineRule="auto"/>
        <w:ind w:hanging="360" w:left="360" w:right="0"/>
        <w:contextualSpacing w:val="false"/>
        <w:jc w:val="both"/>
        <w:rPr>
          <w:rFonts w:ascii="Calibri" w:cs="Arial" w:hAnsi="Calibri"/>
          <w:b/>
          <w:i/>
          <w:color w:val="000000"/>
          <w:sz w:val="22"/>
          <w:szCs w:val="22"/>
          <w:lang w:eastAsia="en-US"/>
        </w:rPr>
      </w:pPr>
      <w:r>
        <w:rPr>
          <w:rFonts w:ascii="Calibri" w:cs="Arial" w:hAnsi="Calibri"/>
          <w:b/>
          <w:i/>
          <w:color w:val="000000"/>
          <w:sz w:val="22"/>
          <w:szCs w:val="22"/>
          <w:lang w:eastAsia="en-US"/>
        </w:rPr>
        <w:t>DO ENCAMINHAMENTO DA PROPOSTA VENCEDORA</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A proposta final do licitante declarado vencedor deverá ser encaminhada no prazo de 2</w:t>
      </w:r>
      <w:r>
        <w:rPr>
          <w:rFonts w:ascii="Calibri" w:cs="Arial" w:hAnsi="Calibri"/>
          <w:b/>
          <w:bCs/>
          <w:i/>
          <w:color w:val="000000"/>
          <w:sz w:val="22"/>
          <w:szCs w:val="22"/>
        </w:rPr>
        <w:t xml:space="preserve"> (duas) horas</w:t>
      </w:r>
      <w:r>
        <w:rPr>
          <w:rFonts w:ascii="Calibri" w:cs="Arial" w:hAnsi="Calibri"/>
          <w:i/>
          <w:color w:val="000000"/>
          <w:sz w:val="22"/>
          <w:szCs w:val="22"/>
        </w:rPr>
        <w:t>, a contar da solicitação do Pregoeiro no sistema eletrônico e deverá:</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Ser redigida em língua portuguesa, datilografada ou digitada, em uma via, sem emendas, rasuras, entrelinhas ou ressalvas, devendo a última folha ser assinada e as demais rubricadas pelo licitante ou seu representante legal.</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Conter a indicação do banco, número da conta e agência do licitante vencedor, para fins de pagamento.</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A proposta final deverá ser documentada nos autos e será levada em consideração no decorrer da execução do contrato e aplicação de eventual sanção à Contratada, se for o caso.</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Todas as especificações do objeto contidas na proposta, tais como marca, modelo, tipo, fabricante e procedência, vinculam a Contratada.</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DOS RECURSOS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lang w:eastAsia="en-US"/>
        </w:rPr>
        <w:t>Declarado o vencedor e decorr</w:t>
      </w:r>
      <w:r>
        <w:rPr>
          <w:rFonts w:ascii="Calibri" w:cs="Arial" w:hAnsi="Calibri"/>
          <w:color w:val="000000"/>
          <w:sz w:val="22"/>
          <w:szCs w:val="22"/>
        </w:rPr>
        <w:t xml:space="preserve">ida a </w:t>
      </w:r>
      <w:r>
        <w:rPr>
          <w:rFonts w:ascii="Calibri" w:cs="Arial" w:hAnsi="Calibri"/>
          <w:color w:val="000000"/>
          <w:sz w:val="22"/>
          <w:szCs w:val="22"/>
          <w:lang w:eastAsia="en-US"/>
        </w:rPr>
        <w:t xml:space="preserve">fase de regularização fiscal da licitante qualificada como microempresa ou empresa de pequeno porte, se for o caso, será concedido o </w:t>
      </w:r>
      <w:r>
        <w:rPr>
          <w:rFonts w:ascii="Calibri" w:cs="Arial" w:hAnsi="Calibri"/>
          <w:color w:val="000000"/>
          <w:sz w:val="22"/>
          <w:szCs w:val="22"/>
        </w:rPr>
        <w:t>prazo de no mínimo trinta minutos, para que qualquer licitante manifeste a intenção de recorrer, de forma motivada, isto é, indicando contra qual(is) decisão(ões) pretende recorrer e por quais motivos, em campo próprio do sistema.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Havendo quem se manifeste, caberá ao Pregoeiro verificar a tempestividade e a existência de motivação da intenção de recorrer, para decidir se admite ou não o recurso, fundamentadamente.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Nesse momento o Pregoeiro não adentrará no mérito recursal, mas apenas verificará as condições de admissibilidade do recurso.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falta de manifestação motivada do licitante quanto à intenção de recorrer importará a decadência desse direito.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acolhimento do recurso invalida tão somente os atos insuscetíveis de aproveitamento.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Os autos do processo permanecerão com vista franqueada aos interessados, no endereço constante neste Edital.</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 ADJUDICAÇÃO E HOMOLOGAÇÃO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objeto da licitação será adjudicado ao licitante declarado vencedor, por ato do Pregoeiro, caso não haja interposição de recurso, ou pela autoridade competente, após a regular decisão dos recursos apresentados.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Após a fase recursal, constatada a regularidade dos atos praticados, a autoridade competente homologará o procedimento licitatório. </w:t>
      </w:r>
    </w:p>
    <w:p>
      <w:pPr>
        <w:pStyle w:val="style0"/>
        <w:numPr>
          <w:ilvl w:val="0"/>
          <w:numId w:val="1"/>
        </w:numPr>
        <w:spacing w:after="120" w:before="0" w:line="276" w:lineRule="auto"/>
        <w:ind w:hanging="360" w:left="360" w:right="-17"/>
        <w:contextualSpacing w:val="false"/>
        <w:jc w:val="both"/>
        <w:rPr>
          <w:rFonts w:ascii="Calibri" w:cs="Arial" w:hAnsi="Calibri"/>
          <w:b/>
          <w:color w:val="000000"/>
          <w:sz w:val="22"/>
          <w:szCs w:val="22"/>
        </w:rPr>
      </w:pPr>
      <w:r>
        <w:rPr>
          <w:rFonts w:ascii="Calibri" w:cs="Arial" w:hAnsi="Calibri"/>
          <w:b/>
          <w:color w:val="000000"/>
          <w:sz w:val="22"/>
          <w:szCs w:val="22"/>
        </w:rPr>
        <w:t>DA ATA DE REGISTRO DE PREÇOS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Homologado o resultado da licitação, terá o adjudicatário o prazo de 07 (sete) dias, contados a partir da data de sua convocação, para assinar a Ata de Registro de Preços, cujo prazo de validade encontra-se nela fixado, sob pena de decair do direito à contratação, sem prejuízo das sanções previstas neste Edital. </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color w:val="000000"/>
          <w:sz w:val="22"/>
          <w:szCs w:val="22"/>
        </w:rPr>
        <w:t>Alternativamente à convocação para comparecer perante o órgão ou entidade</w:t>
      </w:r>
      <w:r>
        <w:rPr>
          <w:rFonts w:ascii="Calibri" w:cs="Arial" w:hAnsi="Calibri"/>
          <w:i/>
          <w:color w:val="000000"/>
          <w:sz w:val="22"/>
          <w:szCs w:val="22"/>
        </w:rPr>
        <w:t xml:space="preserve"> </w:t>
      </w:r>
      <w:r>
        <w:rPr>
          <w:rFonts w:ascii="Calibri" w:cs="Arial" w:hAnsi="Calibri"/>
          <w:color w:val="000000"/>
          <w:sz w:val="22"/>
          <w:szCs w:val="22"/>
        </w:rPr>
        <w:t xml:space="preserve">para a assinatura da Ata de Registro de Preços, a Administração poderá encaminhá-la para assinatura, </w:t>
      </w:r>
      <w:r>
        <w:rPr>
          <w:rFonts w:ascii="Calibri" w:cs="Arial" w:hAnsi="Calibri"/>
          <w:bCs/>
          <w:iCs/>
          <w:color w:val="000000"/>
          <w:sz w:val="22"/>
          <w:szCs w:val="22"/>
        </w:rPr>
        <w:t>mediante correspondência postal com aviso de recebimento (AR) ou meio eletrônico, para que seja(m) assinada(s) no prazo de 07 (sete) dias, a contar da data de seu recebimento.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prazo estabelecido no subitem anterior para assinatura da Ata de Registro de Preços poderá ser prorrogado uma única vez, por igual período, quando solicitado pelo(s) licitante(s) vencedor(s), durante o seu transcurso, e desde que devidamente aceito.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 xml:space="preserve"> </w:t>
      </w:r>
      <w:r>
        <w:rPr>
          <w:rFonts w:ascii="Calibri" w:cs="Arial" w:hAnsi="Calibri"/>
          <w:b/>
          <w:color w:val="000000"/>
          <w:sz w:val="22"/>
          <w:szCs w:val="22"/>
        </w:rPr>
        <w:t>DO TERMO DE CONTRATO OU INSTRUMENTO EQUIVALENTE</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color w:val="000000"/>
          <w:sz w:val="22"/>
          <w:szCs w:val="22"/>
        </w:rPr>
        <w:t xml:space="preserve">Dentro da validade da Ata de Registro de Preços, o fornecedor registrado poderá ser convocado para assinar o Termo de Contrato ou aceitar/retirar o </w:t>
      </w:r>
      <w:r>
        <w:rPr>
          <w:rFonts w:ascii="Calibri" w:cs="Arial" w:hAnsi="Calibri"/>
          <w:bCs/>
          <w:iCs/>
          <w:color w:val="000000"/>
          <w:sz w:val="22"/>
          <w:szCs w:val="22"/>
        </w:rPr>
        <w:t xml:space="preserve">instrumento equivalente (Nota de Empenho). </w:t>
      </w:r>
    </w:p>
    <w:p>
      <w:pPr>
        <w:pStyle w:val="style84"/>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Previamente à contratação, a Administração promotora da licitação realizará consulta ao SICAF para identificar eventual proibição da licitante adjudicatária de contratar com o Poder Público.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adjudicatária terá o prazo de 07 (sete) dias úteis, contados a partir da data de sua convocação, para assinar o Termo de Contrato ou aceitar o instrumento equivalente, conforme o caso, sob pena de decair do direito à contratação, sem prejuízo das sanções previstas neste Edital.</w:t>
      </w:r>
    </w:p>
    <w:p>
      <w:pPr>
        <w:pStyle w:val="style0"/>
        <w:numPr>
          <w:ilvl w:val="2"/>
          <w:numId w:val="1"/>
        </w:numPr>
        <w:spacing w:after="120" w:before="120" w:line="276" w:lineRule="auto"/>
        <w:ind w:hanging="504" w:left="1922" w:right="0"/>
        <w:contextualSpacing w:val="false"/>
        <w:jc w:val="both"/>
        <w:rPr>
          <w:rFonts w:ascii="Calibri" w:cs="Arial" w:hAnsi="Calibri"/>
          <w:bCs/>
          <w:i/>
          <w:iCs/>
          <w:color w:val="000000"/>
          <w:sz w:val="22"/>
          <w:szCs w:val="22"/>
        </w:rPr>
      </w:pPr>
      <w:r>
        <w:rPr>
          <w:rFonts w:ascii="Calibri" w:cs="Arial" w:hAnsi="Calibri"/>
          <w:color w:val="000000"/>
          <w:sz w:val="22"/>
          <w:szCs w:val="22"/>
        </w:rPr>
        <w:t>Alternativamente à convocação para comparecer perante o órgão ou entidade</w:t>
      </w:r>
      <w:r>
        <w:rPr>
          <w:rFonts w:ascii="Calibri" w:cs="Arial" w:hAnsi="Calibri"/>
          <w:i/>
          <w:color w:val="000000"/>
          <w:sz w:val="22"/>
          <w:szCs w:val="22"/>
        </w:rPr>
        <w:t xml:space="preserve"> </w:t>
      </w:r>
      <w:r>
        <w:rPr>
          <w:rFonts w:ascii="Calibri" w:cs="Arial" w:hAnsi="Calibri"/>
          <w:color w:val="000000"/>
          <w:sz w:val="22"/>
          <w:szCs w:val="22"/>
        </w:rPr>
        <w:t>para a assinatura do Termo de Contrato ou aceite/retirada do instrumento equivalente, a Administração poderá encaminhá-lo para assinatura ou aceite da Adjudicatária,</w:t>
      </w:r>
      <w:r>
        <w:rPr>
          <w:rFonts w:ascii="Calibri" w:cs="Arial" w:hAnsi="Calibri"/>
          <w:bCs/>
          <w:iCs/>
          <w:color w:val="000000"/>
          <w:sz w:val="22"/>
          <w:szCs w:val="22"/>
        </w:rPr>
        <w:t xml:space="preserve"> mediante correspondência postal com aviso de recebimento (AR) ou meio eletrônico, para que seja assinado/retirado no prazo de 07 (sete) dias, a contar da data de seu recebimento</w:t>
      </w:r>
      <w:r>
        <w:rPr>
          <w:rFonts w:ascii="Calibri" w:cs="Arial" w:hAnsi="Calibri"/>
          <w:bCs/>
          <w:i/>
          <w:iCs/>
          <w:color w:val="000000"/>
          <w:sz w:val="22"/>
          <w:szCs w:val="22"/>
        </w:rPr>
        <w:t xml:space="preserve">.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prazo previsto no subitem anterior poderá ser prorrogado, por igual período, por solicitação justificada do fornecedor registrado e aceita pela Administração.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Antes da assinatura do Termo de Contrato ou aceite do instrumento equivalente, a Administração realizará consulta “on line” ao SICAF, bem como ao Cadastro Informativo de Créditos não Quitados – CADIN, cujos resultados serão anexados aos autos do processo.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Na hipótese de irregularidade do registro no SICAF, o contratado deverá regularizar a sua situação perante o cadastro no prazo de até 05 (cinco) dias, sob pena de aplicação das penalidades previstas no edital e anexos.</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DO PREÇO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Os preços são fixos e irreajustáveis.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contratações decorrentes da Ata de Registro de Preços poderão sofrer alterações, obedecidas às disposições contidas no art. 65 da Lei n° 8.666/93 e no Decreto nº 7.892, de 2013.</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 ENTREGA E DO RECEBIMENTO DO OBJETO E DA FISCALIZAÇÃO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Os critérios de recebimento e aceitação do objeto e de fiscalização estão previstos no Termo de Referência.</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DAS OBRIGAÇÕES DA CONTRATANTE E DA CONTRATADA</w:t>
      </w:r>
    </w:p>
    <w:p>
      <w:pPr>
        <w:pStyle w:val="style0"/>
        <w:numPr>
          <w:ilvl w:val="1"/>
          <w:numId w:val="1"/>
        </w:numPr>
        <w:spacing w:after="120" w:before="120" w:line="276" w:lineRule="auto"/>
        <w:ind w:hanging="432" w:left="1141" w:right="0"/>
        <w:contextualSpacing w:val="false"/>
        <w:jc w:val="both"/>
        <w:rPr>
          <w:rFonts w:ascii="Calibri" w:cs="Arial" w:hAnsi="Calibri"/>
          <w:b/>
          <w:color w:val="000000"/>
          <w:sz w:val="22"/>
          <w:szCs w:val="22"/>
        </w:rPr>
      </w:pPr>
      <w:r>
        <w:rPr>
          <w:rFonts w:ascii="Calibri" w:cs="Arial" w:hAnsi="Calibri"/>
          <w:color w:val="000000"/>
          <w:sz w:val="22"/>
          <w:szCs w:val="22"/>
          <w:lang w:eastAsia="en-US"/>
        </w:rPr>
        <w:t xml:space="preserve"> </w:t>
      </w:r>
      <w:r>
        <w:rPr>
          <w:rFonts w:ascii="Calibri" w:cs="Arial" w:hAnsi="Calibri"/>
          <w:color w:val="000000"/>
          <w:sz w:val="22"/>
          <w:szCs w:val="22"/>
          <w:lang w:eastAsia="en-US"/>
        </w:rPr>
        <w:t>As obrigações da Contratante e da Contratada são as estabelecidas no Termo de Referência.</w:t>
      </w:r>
      <w:r>
        <w:rPr>
          <w:rFonts w:ascii="Calibri" w:cs="Arial" w:hAnsi="Calibri"/>
          <w:b/>
          <w:color w:val="000000"/>
          <w:sz w:val="22"/>
          <w:szCs w:val="22"/>
        </w:rPr>
        <w:t xml:space="preserve"> </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DO PAGAMENTO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 xml:space="preserve">O pagamento será realizado no prazo máximo de até 30 (trinta) dias, contados a partir </w:t>
      </w:r>
      <w:r>
        <w:rPr>
          <w:rFonts w:ascii="Calibri" w:cs="Arial" w:hAnsi="Calibri"/>
          <w:color w:val="000000"/>
          <w:sz w:val="22"/>
          <w:szCs w:val="22"/>
        </w:rPr>
        <w:t xml:space="preserve">da data final do período de adimplemento a que se referir, </w:t>
      </w:r>
      <w:r>
        <w:rPr>
          <w:rFonts w:ascii="Calibri" w:cs="Arial" w:hAnsi="Calibri"/>
          <w:color w:val="000000"/>
          <w:sz w:val="22"/>
          <w:szCs w:val="22"/>
          <w:lang w:eastAsia="en-US"/>
        </w:rPr>
        <w:t>através de ordem bancária, para crédito em banco, agência e conta-corrente indicados pelo contratado.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 xml:space="preserve">Os pagamentos decorrentes de despesas cujos valores não ultrapassem o limite </w:t>
      </w:r>
      <w:r>
        <w:rPr>
          <w:rFonts w:ascii="Calibri" w:cs="Arial" w:hAnsi="Calibri"/>
          <w:color w:val="000000"/>
          <w:sz w:val="22"/>
          <w:szCs w:val="22"/>
        </w:rPr>
        <w:t>de que trata o inciso II do art. 24</w:t>
      </w:r>
      <w:r>
        <w:rPr>
          <w:rFonts w:ascii="Calibri" w:cs="Arial" w:hAnsi="Calibri"/>
          <w:color w:val="000000"/>
          <w:sz w:val="22"/>
          <w:szCs w:val="22"/>
          <w:lang w:eastAsia="en-US"/>
        </w:rPr>
        <w:t xml:space="preserve"> da Lei 8.666, de 1993, deverão ser efetuados no prazo de até 5 (cinco) dias úteis, contados da data da apresentação da Nota Fiscal, nos termos do art. 5º, § 3º, da Lei nº 8.666, de 1993.</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pagamento somente será autorizado depois de efetuado o “atesto” pelo servidor competente na nota fiscal apresentada.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Havendo erro na apresentação da Nota Fiscal ou dos documentos pertinentes à contratação, ou, ainda, circunstância que impeça a liquidação da despesa, como, por exemplo, </w:t>
      </w:r>
      <w:r>
        <w:rPr>
          <w:rFonts w:ascii="Calibri" w:cs="Arial" w:hAnsi="Calibri"/>
          <w:color w:val="000000"/>
          <w:sz w:val="22"/>
          <w:szCs w:val="22"/>
        </w:rPr>
        <w:t>obrigação financeira pendente, decorrente de penalidade imposta ou inadimplência,</w:t>
      </w:r>
      <w:r>
        <w:rPr>
          <w:rFonts w:ascii="Calibri" w:cs="Arial" w:hAnsi="Calibri"/>
          <w:color w:val="000000"/>
          <w:sz w:val="22"/>
          <w:szCs w:val="22"/>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pPr>
        <w:pStyle w:val="style84"/>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rPr>
        <w:t xml:space="preserve">Será considerada data do pagamento o dia </w:t>
      </w:r>
      <w:r>
        <w:rPr>
          <w:rFonts w:ascii="Calibri" w:cs="Arial" w:hAnsi="Calibri"/>
          <w:color w:val="000000"/>
          <w:sz w:val="22"/>
          <w:szCs w:val="22"/>
          <w:lang w:eastAsia="en-US"/>
        </w:rPr>
        <w:t>em que constar como emitida a ordem bancária para pagamento.</w:t>
      </w:r>
    </w:p>
    <w:p>
      <w:pPr>
        <w:pStyle w:val="style84"/>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Antes de cada pagamento à contratada, será realizada consulta ao SICAF para verificar a manutenção das condições de habilitação exigidas no edital. </w:t>
      </w:r>
    </w:p>
    <w:p>
      <w:pPr>
        <w:pStyle w:val="style84"/>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pPr>
        <w:pStyle w:val="style84"/>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Style w:val="style84"/>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pPr>
        <w:pStyle w:val="style84"/>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Quando do pagamento, será efetuada a retenção tributária prevista na legislação aplicável.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Nos casos de eventuais atrasos de pagamento, desde que a </w:t>
      </w:r>
      <w:r>
        <w:rPr>
          <w:rFonts w:ascii="Calibri" w:cs="Arial" w:hAnsi="Calibri"/>
          <w:color w:val="000000"/>
          <w:sz w:val="22"/>
          <w:szCs w:val="22"/>
          <w:lang w:eastAsia="en-US"/>
        </w:rPr>
        <w:t>Contratada</w:t>
      </w:r>
      <w:r>
        <w:rPr>
          <w:rFonts w:ascii="Calibri" w:cs="Arial" w:hAnsi="Calibri"/>
          <w:color w:val="000000"/>
          <w:sz w:val="22"/>
          <w:szCs w:val="22"/>
        </w:rPr>
        <w:t xml:space="preserve"> não tenha concorrido, de alguma forma, para tanto, fica convencionado que a taxa de compensação financeira devida pela Contratante, entre a data do vencimento  e o efetivo adimplemento da parcela, é calculada mediante a aplicação da seguinte fórmula:</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EM = I x N x VP, sendo:</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EM = Encargos moratórios;</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N = Número de dias entre a data prevista para o pagamento e a do efetivo pagamento;</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VP = Valor da parcela a ser paga.</w:t>
      </w:r>
    </w:p>
    <w:p>
      <w:pPr>
        <w:pStyle w:val="style0"/>
        <w:tabs>
          <w:tab w:leader="none" w:pos="1701" w:val="left"/>
        </w:tabs>
        <w:ind w:hanging="0" w:left="425" w:right="0"/>
        <w:jc w:val="both"/>
        <w:rPr>
          <w:rFonts w:ascii="Calibri" w:cs="Arial" w:hAnsi="Calibri"/>
          <w:color w:val="000000"/>
          <w:sz w:val="22"/>
          <w:szCs w:val="22"/>
        </w:rPr>
      </w:pPr>
      <w:r>
        <w:rPr>
          <w:rFonts w:ascii="Calibri" w:cs="Arial" w:hAnsi="Calibri"/>
          <w:color w:val="000000"/>
          <w:sz w:val="22"/>
          <w:szCs w:val="22"/>
        </w:rPr>
        <w:t>I = Índice de compensação financeira = 0,00016438, assim apurado:</w:t>
      </w:r>
    </w:p>
    <w:tbl>
      <w:tblPr>
        <w:jc w:val="left"/>
        <w:tblInd w:type="dxa" w:w="425"/>
        <w:tblBorders>
          <w:top w:val="nil"/>
          <w:left w:val="nil"/>
          <w:bottom w:val="nil"/>
          <w:insideH w:val="nil"/>
          <w:right w:val="nil"/>
          <w:insideV w:val="nil"/>
        </w:tblBorders>
        <w:tblCellMar>
          <w:top w:type="dxa" w:w="0"/>
          <w:left w:type="dxa" w:w="108"/>
          <w:bottom w:type="dxa" w:w="0"/>
          <w:right w:type="dxa" w:w="108"/>
        </w:tblCellMar>
      </w:tblPr>
      <w:tblGrid>
        <w:gridCol w:w="2252"/>
        <w:gridCol w:w="455"/>
        <w:gridCol w:w="1298"/>
        <w:gridCol w:w="5054"/>
      </w:tblGrid>
      <w:tr>
        <w:trPr>
          <w:cantSplit w:val="false"/>
        </w:trPr>
        <w:tc>
          <w:tcPr>
            <w:tcW w:type="dxa" w:w="2252"/>
            <w:vMerge w:val="restart"/>
            <w:tcBorders>
              <w:top w:val="nil"/>
              <w:left w:val="nil"/>
              <w:bottom w:val="nil"/>
              <w:right w:val="nil"/>
            </w:tcBorders>
            <w:shd w:fill="FFFFFF" w:val="clear"/>
            <w:vAlign w:val="cente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I = (TX)</w:t>
            </w:r>
          </w:p>
        </w:tc>
        <w:tc>
          <w:tcPr>
            <w:tcW w:type="dxa" w:w="455"/>
            <w:vMerge w:val="restart"/>
            <w:tcBorders>
              <w:top w:val="nil"/>
              <w:left w:val="nil"/>
              <w:bottom w:val="nil"/>
              <w:right w:val="nil"/>
            </w:tcBorders>
            <w:shd w:fill="FFFFFF" w:val="clear"/>
            <w:vAlign w:val="center"/>
          </w:tcPr>
          <w:p>
            <w:pPr>
              <w:pStyle w:val="style0"/>
              <w:tabs>
                <w:tab w:leader="none" w:pos="1701" w:val="left"/>
              </w:tabs>
              <w:rPr>
                <w:rFonts w:ascii="Calibri" w:cs="Arial" w:hAnsi="Calibri"/>
                <w:color w:val="000000"/>
                <w:sz w:val="22"/>
                <w:szCs w:val="22"/>
                <w:lang w:eastAsia="en-US"/>
              </w:rPr>
            </w:pPr>
            <w:r>
              <w:rPr>
                <w:rFonts w:ascii="Calibri" w:cs="Arial" w:hAnsi="Calibri"/>
                <w:color w:val="000000"/>
                <w:sz w:val="22"/>
                <w:szCs w:val="22"/>
                <w:lang w:eastAsia="en-US"/>
              </w:rPr>
              <w:t xml:space="preserve">I = </w:t>
            </w:r>
          </w:p>
        </w:tc>
        <w:tc>
          <w:tcPr>
            <w:tcW w:type="dxa" w:w="1298"/>
            <w:tcBorders>
              <w:top w:val="nil"/>
              <w:left w:val="nil"/>
              <w:bottom w:color="00000A" w:space="0" w:sz="4" w:val="single"/>
              <w:right w:val="nil"/>
            </w:tcBorders>
            <w:shd w:fill="FFFFFF" w:val="clea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( 6 / 100 )</w:t>
            </w:r>
          </w:p>
        </w:tc>
        <w:tc>
          <w:tcPr>
            <w:tcW w:type="dxa" w:w="5054"/>
            <w:vMerge w:val="restart"/>
            <w:tcBorders>
              <w:top w:val="nil"/>
              <w:left w:val="nil"/>
              <w:bottom w:val="nil"/>
              <w:right w:val="nil"/>
            </w:tcBorders>
            <w:shd w:fill="FFFFFF" w:val="clear"/>
            <w:vAlign w:val="center"/>
          </w:tcPr>
          <w:p>
            <w:pPr>
              <w:pStyle w:val="style0"/>
              <w:tabs>
                <w:tab w:leader="none" w:pos="1701" w:val="left"/>
              </w:tabs>
              <w:ind w:hanging="0" w:left="742" w:right="0"/>
              <w:rPr>
                <w:rFonts w:ascii="Calibri" w:cs="Arial" w:hAnsi="Calibri"/>
                <w:color w:val="000000"/>
                <w:sz w:val="22"/>
                <w:szCs w:val="22"/>
                <w:lang w:eastAsia="en-US"/>
              </w:rPr>
            </w:pPr>
            <w:r>
              <w:rPr>
                <w:rFonts w:ascii="Calibri" w:cs="Arial" w:hAnsi="Calibri"/>
                <w:color w:val="000000"/>
                <w:sz w:val="22"/>
                <w:szCs w:val="22"/>
                <w:lang w:eastAsia="en-US"/>
              </w:rPr>
              <w:t>I = 0,00016438</w:t>
            </w:r>
          </w:p>
          <w:p>
            <w:pPr>
              <w:pStyle w:val="style0"/>
              <w:tabs>
                <w:tab w:leader="none" w:pos="1701" w:val="left"/>
              </w:tabs>
              <w:ind w:hanging="0" w:left="742" w:right="0"/>
              <w:rPr>
                <w:rFonts w:ascii="Calibri" w:cs="Arial" w:hAnsi="Calibri"/>
                <w:color w:val="000000"/>
                <w:sz w:val="22"/>
                <w:szCs w:val="22"/>
                <w:lang w:eastAsia="en-US"/>
              </w:rPr>
            </w:pPr>
            <w:r>
              <w:rPr>
                <w:rFonts w:ascii="Calibri" w:cs="Arial" w:hAnsi="Calibri"/>
                <w:color w:val="000000"/>
                <w:sz w:val="22"/>
                <w:szCs w:val="22"/>
                <w:lang w:eastAsia="en-US"/>
              </w:rPr>
              <w:t>TX = Percentual da taxa anual = 6%</w:t>
            </w:r>
          </w:p>
        </w:tc>
      </w:tr>
      <w:tr>
        <w:trPr>
          <w:cantSplit w:val="false"/>
        </w:trPr>
        <w:tc>
          <w:tcPr>
            <w:tcW w:type="dxa" w:w="2252"/>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c>
          <w:tcPr>
            <w:tcW w:type="dxa" w:w="455"/>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c>
          <w:tcPr>
            <w:tcW w:type="dxa" w:w="1298"/>
            <w:tcBorders>
              <w:top w:color="00000A" w:space="0" w:sz="4" w:val="single"/>
              <w:left w:val="nil"/>
              <w:bottom w:val="nil"/>
              <w:right w:val="nil"/>
            </w:tcBorders>
            <w:shd w:fill="FFFFFF" w:val="clea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365</w:t>
            </w:r>
          </w:p>
        </w:tc>
        <w:tc>
          <w:tcPr>
            <w:tcW w:type="dxa" w:w="5054"/>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r>
    </w:tbl>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120" w:line="276" w:lineRule="auto"/>
        <w:contextualSpacing w:val="false"/>
        <w:jc w:val="both"/>
        <w:rPr>
          <w:rFonts w:ascii="Calibri" w:cs="Arial" w:hAnsi="Calibri"/>
          <w:b/>
          <w:color w:val="000000"/>
          <w:sz w:val="22"/>
          <w:szCs w:val="22"/>
        </w:rPr>
      </w:pPr>
      <w:r>
        <w:rPr>
          <w:rFonts w:ascii="Calibri" w:cs="Arial" w:hAnsi="Calibri"/>
          <w:b/>
          <w:color w:val="000000"/>
          <w:sz w:val="22"/>
          <w:szCs w:val="22"/>
        </w:rPr>
        <w:t xml:space="preserve">DA FORMAÇÃO DO CADASTRO DE RESERVA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Após o encerramento da etapa competitiva, os licitantes poderão reduzir seus preços ao valor da proposta do licitante mais bem classificado.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apresentação de novas propostas na forma deste item não prejudicará o resultado do certame em relação ao licitante melhor classificado.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Havendo um ou mais licitantes que aceitem cotar suas propostas em valor igual ao do licitante vencedor, estes serão classificados segundo a ordem da última proposta individual apresentada durante a fase competitiva.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DAS SANÇÕES ADMINISTRATIVAS.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 xml:space="preserve">Comete infração administrativa, nos termos da Lei nº 10.520, de 2002, o licitante/adjudicatário que: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não assinar a ata de registro de preços quando convocado dentro do prazo de validade da proposta, não aceitar/retirar a nota de empenho ou não assinar o termo de contrato decorrente da ata de registro de preços;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Apresentar documentação falsa;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Deixar de entregar os documentos exigidos no certame;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Ensejar o retardamento da execução do objeto;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Não mantiver a proposta;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Cometer fraude fiscal;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Comportar-se de modo inidôneo.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 xml:space="preserve"> </w:t>
      </w:r>
      <w:r>
        <w:rPr>
          <w:rFonts w:ascii="Calibri" w:cs="Arial" w:hAnsi="Calibri"/>
          <w:color w:val="000000"/>
          <w:sz w:val="22"/>
          <w:szCs w:val="22"/>
          <w:shd w:fill="FFFFFF" w:val="clear"/>
        </w:rPr>
        <w:t>licitante/adjudicatário que cometer qualquer das infrações discriminadas no subitem anterior ficará sujeito, sem prejuízo da responsabilidade civil e criminal, às seguintes sanções: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Multa de 10% (dez por cento) sobre o valor estimado do(s) item(s) prejudicado(s) pela conduta do licitante;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Impedimento de licitar e de contratar com a União e descredenciamento no SICAF, pelo prazo de até cinco anos;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A penalidade de multa pode ser aplicada cumulativamente com a sanção de impedimento.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 autoridade competente, na aplicação das sanções, levará em </w:t>
      </w:r>
      <w:r>
        <w:rPr>
          <w:rFonts w:ascii="Calibri" w:cs="Arial" w:hAnsi="Calibri"/>
          <w:color w:val="000000"/>
          <w:sz w:val="22"/>
          <w:szCs w:val="22"/>
          <w:shd w:fill="FFFFFF" w:val="clear"/>
        </w:rPr>
        <w:t>consideração</w:t>
      </w:r>
      <w:r>
        <w:rPr>
          <w:rFonts w:ascii="Calibri" w:cs="Arial" w:hAnsi="Calibri"/>
          <w:color w:val="000000"/>
          <w:sz w:val="22"/>
          <w:szCs w:val="22"/>
        </w:rPr>
        <w:t xml:space="preserve"> a gravidade da conduta do infrator, o caráter educativo da pena, bem como o dano causado à Administração, observado o princípio da proporcionalidade,</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penalidades serão obrigatoriamente registradas no SICAF.</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sanções por atos praticados no decorrer da contratação estão previstas no Termo de Referência.</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 IMPUGNAÇÃO AO EDITAL E DO PEDIDO DE ESCLARECIMENTO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Até 02 (dois) dias úteis antes da data designada para a abertura da sessão pública, qualquer pessoa poderá impugnar este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 impugnação poderá ser realizada por forma eletrônica, pelo e-mail </w:t>
      </w:r>
      <w:hyperlink r:id="rId6">
        <w:r>
          <w:rPr>
            <w:rStyle w:val="style20"/>
            <w:rFonts w:ascii="Calibri" w:cs="Arial" w:hAnsi="Calibri"/>
            <w:color w:val="000000"/>
            <w:sz w:val="22"/>
            <w:szCs w:val="22"/>
          </w:rPr>
          <w:t>cpl@svc.ifmt.edu.br</w:t>
        </w:r>
      </w:hyperlink>
      <w:r>
        <w:rPr>
          <w:rFonts w:ascii="Calibri" w:cs="Arial" w:hAnsi="Calibri"/>
          <w:color w:val="000000"/>
          <w:sz w:val="22"/>
          <w:szCs w:val="22"/>
        </w:rPr>
        <w:t xml:space="preserve">  ou por petição dirigida ou protocolada no endereço Rodovia BR 364, Km 329, Vila de São Vicente, Município de Santo Antônio do Leverger – MT, seção Protocolo.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Caberá ao Pregoeiro decidir sobre a impugnação no prazo de até vinte e quatro horas.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Acolhida a impugnação, será definida e publicada nova data para a realização do certame.</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lang w:eastAsia="en-US"/>
        </w:rPr>
      </w:pPr>
      <w:r>
        <w:rPr>
          <w:rFonts w:ascii="Calibri" w:cs="Arial" w:hAnsi="Calibri"/>
          <w:color w:val="000000"/>
          <w:sz w:val="22"/>
          <w:szCs w:val="22"/>
        </w:rPr>
        <w:t xml:space="preserve">Os pedidos de esclarecimentos referentes a este processo licitatório deverão ser enviados ao Pregoeiro, até 03 (três) dias úteis anteriores à data designada para abertura da sessão pública, </w:t>
      </w:r>
      <w:r>
        <w:rPr>
          <w:rFonts w:ascii="Calibri" w:cs="Arial" w:hAnsi="Calibri"/>
          <w:bCs/>
          <w:color w:val="000000"/>
          <w:sz w:val="22"/>
          <w:szCs w:val="22"/>
          <w:lang w:eastAsia="en-US"/>
        </w:rPr>
        <w:t>exclusivamente por meio eletrônico via internet, no endereço indicado no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impugnações e pedidos de esclarecimentos não suspendem os prazos previstos no certame.</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respostas às impugnações e os esclarecimentos prestados pelo Pregoeiro serão entranhados nos autos do processo licitatório e estarão disponíveis para consulta por qualquer interessado.</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DAS DISPOSIÇÕES GERAIS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A homologação do resultado desta licitação não implicará direito à contratação.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normas disciplinadoras da licitação serão sempre interpretadas em favor da ampliação da disputa entre os interessados, desde que não comprometam o interesse da Administração, o princípio da isonomia, a finalidade e a segurança da contratação.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Na contagem dos prazos estabelecidos neste Edital e seus Anexos, excluir-se-á o dia do início e incluir-se-á o do vencimento. Só se iniciam e vencem os prazos em dias de expediente na Administração.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desatendimento de exigências formais não essenciais não importará o afastamento do licitante, desde que seja possível o aproveitamento do ato, observados os princípios da isonomia e do interesse público.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Em caso de divergência entre disposições deste Edital e de seus anexos ou demais peças que compõem o processo, prevalecerá as deste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Edital está disponibilizado, na íntegra, no endereço eletrônico </w:t>
      </w:r>
      <w:hyperlink r:id="rId7">
        <w:r>
          <w:rPr>
            <w:rStyle w:val="style20"/>
            <w:rFonts w:ascii="Calibri" w:cs="Arial" w:hAnsi="Calibri"/>
            <w:color w:val="000000"/>
            <w:sz w:val="22"/>
            <w:szCs w:val="22"/>
          </w:rPr>
          <w:t>cpl@svc.ifmt.edu.br</w:t>
        </w:r>
      </w:hyperlink>
      <w:r>
        <w:rPr>
          <w:rFonts w:ascii="Calibri" w:cs="Arial" w:hAnsi="Calibri"/>
          <w:color w:val="000000"/>
          <w:sz w:val="22"/>
          <w:szCs w:val="22"/>
        </w:rPr>
        <w:t>, e também poderão ser lidos e/ou obtidos no endereço Rodovia BR 364, Km 329, Vila de São Vicente, Município de Santo Antônio do Leverger - MT, nos dias úteis, no horário das 08:00 horas às 17:00 horas, mesmo endereço e período no qual os autos do processo administrativo permanecerão com vista franqueada aos interessados.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Integram este Edital, para todos os fins e efeitos, os seguintes anexos: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ANEXO I - Termo de Referência;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ANEXO II – Ata de Registro de Preços;</w:t>
      </w:r>
    </w:p>
    <w:p>
      <w:pPr>
        <w:pStyle w:val="style0"/>
        <w:numPr>
          <w:ilvl w:val="2"/>
          <w:numId w:val="1"/>
        </w:numPr>
        <w:spacing w:after="120" w:before="120" w:line="276" w:lineRule="auto"/>
        <w:ind w:hanging="504" w:left="1922" w:right="0"/>
        <w:contextualSpacing w:val="false"/>
        <w:jc w:val="both"/>
        <w:rPr>
          <w:rFonts w:ascii="Calibri" w:cs="Arial" w:hAnsi="Calibri"/>
          <w:bCs/>
          <w:iCs/>
          <w:color w:val="000000"/>
          <w:sz w:val="22"/>
          <w:szCs w:val="22"/>
        </w:rPr>
      </w:pPr>
      <w:r>
        <w:rPr>
          <w:rFonts w:ascii="Calibri" w:cs="Arial" w:hAnsi="Calibri"/>
          <w:bCs/>
          <w:iCs/>
          <w:color w:val="000000"/>
          <w:sz w:val="22"/>
          <w:szCs w:val="22"/>
        </w:rPr>
        <w:t xml:space="preserve"> </w:t>
      </w:r>
      <w:r>
        <w:rPr>
          <w:rFonts w:ascii="Calibri" w:cs="Arial" w:hAnsi="Calibri"/>
          <w:bCs/>
          <w:iCs/>
          <w:color w:val="000000"/>
          <w:sz w:val="22"/>
          <w:szCs w:val="22"/>
        </w:rPr>
        <w:t>ANEXO III – Modelo de Proposta</w:t>
      </w:r>
    </w:p>
    <w:p>
      <w:pPr>
        <w:pStyle w:val="style0"/>
        <w:numPr>
          <w:ilvl w:val="2"/>
          <w:numId w:val="1"/>
        </w:numPr>
        <w:spacing w:after="120" w:before="120" w:line="276" w:lineRule="auto"/>
        <w:ind w:hanging="504" w:left="1922" w:right="0"/>
        <w:contextualSpacing w:val="false"/>
        <w:jc w:val="both"/>
        <w:rPr>
          <w:rFonts w:ascii="Calibri" w:cs="Arial" w:hAnsi="Calibri"/>
          <w:bCs/>
          <w:iCs/>
          <w:color w:val="000000"/>
          <w:sz w:val="22"/>
          <w:szCs w:val="22"/>
        </w:rPr>
      </w:pPr>
      <w:r>
        <w:rPr>
          <w:rFonts w:ascii="Calibri" w:cs="Arial" w:hAnsi="Calibri"/>
          <w:bCs/>
          <w:iCs/>
          <w:color w:val="000000"/>
          <w:sz w:val="22"/>
          <w:szCs w:val="22"/>
        </w:rPr>
        <w:t>ANEXO IV – Demanda Órgão Gerenciador e Participantes</w:t>
      </w:r>
    </w:p>
    <w:p>
      <w:pPr>
        <w:pStyle w:val="style0"/>
        <w:spacing w:after="120" w:before="120" w:line="276" w:lineRule="auto"/>
        <w:ind w:hanging="504" w:left="1922" w:right="0"/>
        <w:contextualSpacing w:val="false"/>
        <w:jc w:val="both"/>
        <w:rPr>
          <w:rFonts w:ascii="Calibri" w:hAnsi="Calibri"/>
          <w:color w:val="000000"/>
          <w:sz w:val="22"/>
          <w:szCs w:val="22"/>
        </w:rPr>
      </w:pPr>
      <w:r>
        <w:rPr>
          <w:rFonts w:ascii="Calibri" w:hAnsi="Calibri"/>
          <w:color w:val="000000"/>
          <w:sz w:val="22"/>
          <w:szCs w:val="22"/>
        </w:rPr>
      </w:r>
    </w:p>
    <w:p>
      <w:pPr>
        <w:pStyle w:val="style0"/>
        <w:spacing w:after="120" w:before="0" w:line="276" w:lineRule="auto"/>
        <w:ind w:hanging="0" w:left="360" w:right="0"/>
        <w:contextualSpacing w:val="false"/>
        <w:rPr>
          <w:rFonts w:ascii="Calibri" w:cs="Arial" w:hAnsi="Calibri"/>
          <w:color w:val="000000"/>
          <w:sz w:val="22"/>
          <w:szCs w:val="22"/>
        </w:rPr>
      </w:pPr>
      <w:r>
        <w:rPr>
          <w:rFonts w:ascii="Calibri" w:cs="Arial" w:hAnsi="Calibri"/>
          <w:color w:val="000000"/>
          <w:sz w:val="22"/>
          <w:szCs w:val="22"/>
        </w:rPr>
        <w:t>São Vicente da Serra - MT, 08 de agosto de 2017.</w:t>
      </w:r>
    </w:p>
    <w:p>
      <w:pPr>
        <w:pStyle w:val="style0"/>
        <w:spacing w:after="120" w:before="0" w:line="276" w:lineRule="auto"/>
        <w:ind w:firstLine="720" w:left="0"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jc w:val="center"/>
        <w:rPr>
          <w:rFonts w:ascii="Calibri" w:hAnsi="Calibri"/>
          <w:color w:val="000000"/>
          <w:sz w:val="22"/>
          <w:szCs w:val="22"/>
        </w:rPr>
      </w:pPr>
      <w:r>
        <w:rPr>
          <w:rFonts w:ascii="Calibri" w:hAnsi="Calibri"/>
          <w:color w:val="000000"/>
          <w:sz w:val="22"/>
          <w:szCs w:val="22"/>
        </w:rPr>
      </w:r>
    </w:p>
    <w:p>
      <w:pPr>
        <w:pStyle w:val="style0"/>
        <w:jc w:val="center"/>
        <w:rPr>
          <w:rFonts w:ascii="Calibri" w:hAnsi="Calibri"/>
          <w:color w:val="000000"/>
          <w:sz w:val="22"/>
          <w:szCs w:val="22"/>
        </w:rPr>
      </w:pPr>
      <w:r>
        <w:rPr>
          <w:rFonts w:ascii="Calibri" w:hAnsi="Calibri"/>
          <w:color w:val="000000"/>
          <w:sz w:val="22"/>
          <w:szCs w:val="22"/>
        </w:rPr>
      </w:r>
    </w:p>
    <w:p>
      <w:pPr>
        <w:pStyle w:val="style0"/>
        <w:jc w:val="center"/>
        <w:rPr>
          <w:rFonts w:ascii="Calibri" w:cs="Arial" w:hAnsi="Calibri"/>
          <w:b/>
          <w:bCs/>
          <w:iCs/>
          <w:color w:val="000000"/>
          <w:sz w:val="22"/>
          <w:szCs w:val="22"/>
        </w:rPr>
      </w:pPr>
      <w:r>
        <w:rPr>
          <w:rFonts w:ascii="Calibri" w:cs="Arial" w:hAnsi="Calibri"/>
          <w:b/>
          <w:bCs/>
          <w:iCs/>
          <w:color w:val="000000"/>
          <w:sz w:val="22"/>
          <w:szCs w:val="22"/>
        </w:rPr>
        <w:t>Amarildo Poletto da Silva</w:t>
      </w:r>
    </w:p>
    <w:p>
      <w:pPr>
        <w:pStyle w:val="style0"/>
        <w:jc w:val="center"/>
        <w:rPr>
          <w:rFonts w:ascii="Calibri" w:cs="Arial" w:hAnsi="Calibri"/>
          <w:b/>
          <w:bCs/>
          <w:iCs/>
          <w:color w:val="000000"/>
          <w:sz w:val="22"/>
          <w:szCs w:val="22"/>
        </w:rPr>
      </w:pPr>
      <w:r>
        <w:rPr>
          <w:rFonts w:ascii="Calibri" w:cs="Arial" w:hAnsi="Calibri"/>
          <w:b/>
          <w:bCs/>
          <w:iCs/>
          <w:color w:val="000000"/>
          <w:sz w:val="22"/>
          <w:szCs w:val="22"/>
        </w:rPr>
        <w:t>Pregoeiro Oficial do IFMT – Campus São Vicente</w:t>
      </w:r>
    </w:p>
    <w:p>
      <w:pPr>
        <w:pStyle w:val="style0"/>
        <w:jc w:val="center"/>
        <w:rPr>
          <w:rFonts w:ascii="Calibri" w:cs="Arial" w:hAnsi="Calibri"/>
          <w:b/>
          <w:bCs/>
          <w:iCs/>
          <w:color w:val="000000"/>
          <w:sz w:val="20"/>
          <w:szCs w:val="20"/>
        </w:rPr>
      </w:pPr>
      <w:r>
        <w:rPr>
          <w:rFonts w:ascii="Calibri" w:cs="Arial" w:hAnsi="Calibri"/>
          <w:b/>
          <w:bCs/>
          <w:iCs/>
          <w:color w:val="000000"/>
          <w:sz w:val="20"/>
          <w:szCs w:val="20"/>
        </w:rPr>
      </w:r>
    </w:p>
    <w:p>
      <w:pPr>
        <w:pStyle w:val="style0"/>
        <w:spacing w:after="120" w:before="0" w:line="276" w:lineRule="auto"/>
        <w:ind w:hanging="0" w:left="360" w:right="-15"/>
        <w:contextualSpacing w:val="false"/>
        <w:rPr>
          <w:rFonts w:ascii="Calibri" w:hAnsi="Calibri"/>
          <w:color w:val="000000"/>
        </w:rPr>
      </w:pPr>
      <w:r>
        <w:rPr>
          <w:rFonts w:ascii="Calibri" w:hAnsi="Calibri"/>
          <w:color w:val="000000"/>
        </w:rPr>
      </w:r>
    </w:p>
    <w:p>
      <w:pPr>
        <w:pStyle w:val="style0"/>
        <w:rPr>
          <w:color w:val="000000"/>
        </w:rPr>
      </w:pPr>
      <w:r>
        <w:rPr>
          <w:color w:val="000000"/>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sectPr>
      <w:footerReference r:id="rId8" w:type="default"/>
      <w:type w:val="nextPage"/>
      <w:pgSz w:h="16838" w:w="11906"/>
      <w:pgMar w:bottom="1418" w:footer="708" w:gutter="0" w:header="0" w:left="1701" w:right="1134" w:top="1418"/>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Ecofont_Spranq_eco_Sans">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92"/>
      <w:rPr>
        <w:rFonts w:ascii="Times New Roman" w:cs="Times New Roman" w:hAnsi="Times New Roman"/>
      </w:rPr>
    </w:pPr>
    <w:r>
      <w:rPr>
        <w:rFonts w:ascii="Times New Roman" w:cs="Times New Roman" w:hAnsi="Times New Roman"/>
      </w:rPr>
      <w:t>____________________________________________________________________</w:t>
    </w:r>
  </w:p>
  <w:p>
    <w:pPr>
      <w:pStyle w:val="style92"/>
      <w:rPr>
        <w:rFonts w:ascii="Arial" w:cs="Arial" w:hAnsi="Arial"/>
        <w:sz w:val="12"/>
        <w:szCs w:val="12"/>
      </w:rPr>
    </w:pPr>
    <w:r>
      <w:rPr>
        <w:rFonts w:ascii="Arial" w:cs="Arial" w:hAnsi="Arial"/>
        <w:sz w:val="12"/>
        <w:szCs w:val="12"/>
      </w:rPr>
      <w:t>Comissão Permanente de Atualização de Editais da Consultoria-Geral da União</w:t>
    </w:r>
  </w:p>
  <w:p>
    <w:pPr>
      <w:pStyle w:val="style92"/>
      <w:rPr>
        <w:rFonts w:ascii="Arial" w:cs="Arial" w:hAnsi="Arial"/>
        <w:sz w:val="12"/>
        <w:szCs w:val="12"/>
      </w:rPr>
    </w:pPr>
    <w:r>
      <w:rPr>
        <w:rFonts w:ascii="Arial" w:cs="Arial" w:hAnsi="Arial"/>
        <w:sz w:val="12"/>
        <w:szCs w:val="12"/>
      </w:rPr>
      <w:t>Edital modelo para Pregão Eletrônico SRP: Compras - Habilitação Simplificada - Híbrido</w:t>
    </w:r>
  </w:p>
  <w:p>
    <w:pPr>
      <w:pStyle w:val="style92"/>
      <w:rPr>
        <w:rFonts w:ascii="Arial" w:cs="Arial" w:hAnsi="Arial"/>
        <w:sz w:val="12"/>
        <w:szCs w:val="12"/>
      </w:rPr>
    </w:pPr>
    <w:r>
      <w:rPr>
        <w:rFonts w:ascii="Arial" w:cs="Arial" w:hAnsi="Arial"/>
        <w:sz w:val="12"/>
        <w:szCs w:val="12"/>
      </w:rPr>
      <w:t>Atualização: Janeiro/2016</w:t>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left"/>
      <w:pPr>
        <w:ind w:hanging="360" w:left="360"/>
      </w:pPr>
      <w:rPr>
        <w:sz w:val="22"/>
        <w:b/>
        <w:szCs w:val="22"/>
      </w:rPr>
    </w:lvl>
    <w:lvl w:ilvl="1">
      <w:start w:val="1"/>
      <w:numFmt w:val="decimal"/>
      <w:lvlText w:val="%1.%2."/>
      <w:lvlJc w:val="left"/>
      <w:pPr>
        <w:ind w:hanging="432" w:left="1141"/>
      </w:pPr>
      <w:rPr>
        <w:color w:val="00000A"/>
        <w:sz w:val="20"/>
        <w:b w:val="false"/>
        <w:szCs w:val="20"/>
      </w:rPr>
    </w:lvl>
    <w:lvl w:ilvl="2">
      <w:start w:val="1"/>
      <w:numFmt w:val="decimal"/>
      <w:lvlText w:val="%1.%2.%3."/>
      <w:lvlJc w:val="left"/>
      <w:pPr>
        <w:ind w:hanging="504" w:left="1922"/>
      </w:pPr>
      <w:rPr>
        <w:color w:val="00000A"/>
        <w:sz w:val="20"/>
        <w:b w:val="false"/>
        <w:szCs w:val="20"/>
      </w:r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2">
    <w:lvl w:ilvl="0">
      <w:start w:val="3"/>
      <w:numFmt w:val="decimal"/>
      <w:lvlText w:val="%1."/>
      <w:lvlJc w:val="left"/>
      <w:pPr>
        <w:ind w:hanging="375" w:left="375"/>
      </w:pPr>
    </w:lvl>
    <w:lvl w:ilvl="1">
      <w:start w:val="1"/>
      <w:numFmt w:val="decimal"/>
      <w:lvlText w:val="%1.%2."/>
      <w:lvlJc w:val="left"/>
      <w:pPr>
        <w:ind w:hanging="720" w:left="720"/>
      </w:pPr>
    </w:lvl>
    <w:lvl w:ilvl="2">
      <w:start w:val="1"/>
      <w:numFmt w:val="decimal"/>
      <w:lvlText w:val="%1.%2.%3."/>
      <w:lvlJc w:val="left"/>
      <w:pPr>
        <w:ind w:hanging="720" w:left="720"/>
      </w:pPr>
      <w:rPr>
        <w:sz w:val="20"/>
        <w:szCs w:val="20"/>
      </w:rPr>
    </w:lvl>
    <w:lvl w:ilvl="3">
      <w:start w:val="1"/>
      <w:numFmt w:val="decimal"/>
      <w:lvlText w:val="%1.%2.%3.%4."/>
      <w:lvlJc w:val="left"/>
      <w:pPr>
        <w:ind w:hanging="1080" w:left="1080"/>
      </w:pPr>
    </w:lvl>
    <w:lvl w:ilvl="4">
      <w:start w:val="1"/>
      <w:numFmt w:val="decimal"/>
      <w:lvlText w:val="%1.%2.%3.%4.%5."/>
      <w:lvlJc w:val="left"/>
      <w:pPr>
        <w:ind w:hanging="1440" w:left="1440"/>
      </w:pPr>
    </w:lvl>
    <w:lvl w:ilvl="5">
      <w:start w:val="1"/>
      <w:numFmt w:val="decimal"/>
      <w:lvlText w:val="%1.%2.%3.%4.%5.%6."/>
      <w:lvlJc w:val="left"/>
      <w:pPr>
        <w:ind w:hanging="1440" w:left="1440"/>
      </w:pPr>
    </w:lvl>
    <w:lvl w:ilvl="6">
      <w:start w:val="1"/>
      <w:numFmt w:val="decimal"/>
      <w:lvlText w:val="%1.%2.%3.%4.%5.%6.%7."/>
      <w:lvlJc w:val="left"/>
      <w:pPr>
        <w:ind w:hanging="1800" w:left="1800"/>
      </w:pPr>
    </w:lvl>
    <w:lvl w:ilvl="7">
      <w:start w:val="1"/>
      <w:numFmt w:val="decimal"/>
      <w:lvlText w:val="%1.%2.%3.%4.%5.%6.%7.%8."/>
      <w:lvlJc w:val="left"/>
      <w:pPr>
        <w:ind w:hanging="2160" w:left="2160"/>
      </w:pPr>
    </w:lvl>
    <w:lvl w:ilvl="8">
      <w:start w:val="1"/>
      <w:numFmt w:val="decimal"/>
      <w:lvlText w:val="%1.%2.%3.%4.%5.%6.%7.%8.%9."/>
      <w:lvlJc w:val="left"/>
      <w:pPr>
        <w:ind w:hanging="2160" w:left="2160"/>
      </w:pPr>
    </w:lvl>
  </w:abstractNum>
  <w:abstractNum w:abstractNumId="3">
    <w:lvl w:ilvl="0">
      <w:start w:val="1"/>
      <w:numFmt w:val="decimal"/>
      <w:lvlText w:val="%1."/>
      <w:lvlJc w:val="left"/>
      <w:pPr>
        <w:ind w:hanging="360" w:left="360"/>
      </w:pPr>
      <w:rPr>
        <w:sz w:val="22"/>
        <w:b/>
        <w:szCs w:val="22"/>
      </w:rPr>
    </w:lvl>
    <w:lvl w:ilvl="1">
      <w:start w:val="1"/>
      <w:numFmt w:val="decimal"/>
      <w:lvlText w:val="%1.%2."/>
      <w:lvlJc w:val="left"/>
      <w:pPr>
        <w:ind w:hanging="432" w:left="1141"/>
      </w:pPr>
      <w:rPr>
        <w:color w:val="00000A"/>
        <w:sz w:val="20"/>
        <w:b w:val="false"/>
        <w:szCs w:val="20"/>
      </w:rPr>
    </w:lvl>
    <w:lvl w:ilvl="2">
      <w:start w:val="1"/>
      <w:numFmt w:val="decimal"/>
      <w:lvlText w:val="%1.%2.%3."/>
      <w:lvlJc w:val="left"/>
      <w:pPr>
        <w:ind w:hanging="504" w:left="1922"/>
      </w:pPr>
      <w:rPr>
        <w:color w:val="00000A"/>
        <w:sz w:val="20"/>
        <w:b w:val="false"/>
        <w:szCs w:val="20"/>
      </w:r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4">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7"/>
  <w:defaultTabStop w:val="567"/>
</w:settings>
</file>

<file path=word/styles.xml><?xml version="1.0" encoding="utf-8"?>
<w:styles xmlns:w="http://schemas.openxmlformats.org/wordprocessingml/2006/main">
  <w:style w:styleId="style0" w:type="paragraph">
    <w:name w:val="Normal"/>
    <w:next w:val="style0"/>
    <w:pPr>
      <w:widowControl/>
      <w:suppressAutoHyphens w:val="true"/>
    </w:pPr>
    <w:rPr>
      <w:rFonts w:ascii="Ecofont_Spranq_eco_Sans" w:cs="Tahoma" w:eastAsia="Times New Roman" w:hAnsi="Ecofont_Spranq_eco_Sans"/>
      <w:color w:val="00000A"/>
      <w:sz w:val="24"/>
      <w:szCs w:val="24"/>
      <w:lang w:bidi="ar-SA" w:eastAsia="pt-BR" w:val="pt-BR"/>
    </w:rPr>
  </w:style>
  <w:style w:styleId="style1" w:type="paragraph">
    <w:name w:val="Título 1"/>
    <w:basedOn w:val="style0"/>
    <w:next w:val="style1"/>
    <w:pPr>
      <w:keepNext/>
      <w:keepLines/>
      <w:spacing w:after="0" w:before="240"/>
      <w:contextualSpacing w:val="false"/>
    </w:pPr>
    <w:rPr>
      <w:rFonts w:ascii="Cambria" w:cs="" w:hAnsi="Cambria"/>
      <w:color w:val="365F91"/>
      <w:sz w:val="32"/>
      <w:szCs w:val="32"/>
    </w:rPr>
  </w:style>
  <w:style w:styleId="style2" w:type="paragraph">
    <w:name w:val="Título 2"/>
    <w:basedOn w:val="style0"/>
    <w:next w:val="style2"/>
    <w:pPr>
      <w:keepNext/>
      <w:tabs>
        <w:tab w:leader="none" w:pos="1701" w:val="left"/>
      </w:tabs>
      <w:ind w:hanging="0" w:left="0" w:right="-1"/>
      <w:jc w:val="center"/>
    </w:pPr>
    <w:rPr>
      <w:rFonts w:ascii="Times New Roman" w:cs="Times New Roman" w:hAnsi="Times New Roman"/>
      <w:b/>
      <w:color w:val="000000"/>
      <w:szCs w:val="20"/>
    </w:rPr>
  </w:style>
  <w:style w:styleId="style15" w:type="character">
    <w:name w:val="Default Paragraph Font"/>
    <w:next w:val="style15"/>
    <w:rPr/>
  </w:style>
  <w:style w:styleId="style16" w:type="character">
    <w:name w:val="Balloon Text Char"/>
    <w:next w:val="style16"/>
    <w:rPr>
      <w:rFonts w:ascii="Tahoma" w:cs="Tahoma" w:hAnsi="Tahoma"/>
      <w:sz w:val="16"/>
      <w:szCs w:val="16"/>
    </w:rPr>
  </w:style>
  <w:style w:styleId="style17" w:type="character">
    <w:name w:val="Heading 2 Char"/>
    <w:next w:val="style17"/>
    <w:rPr>
      <w:b/>
      <w:color w:val="000000"/>
      <w:sz w:val="24"/>
    </w:rPr>
  </w:style>
  <w:style w:styleId="style18" w:type="character">
    <w:name w:val="normal__char1"/>
    <w:next w:val="style18"/>
    <w:rPr>
      <w:rFonts w:ascii="Arial" w:cs="Arial" w:hAnsi="Arial"/>
      <w:strike w:val="false"/>
      <w:dstrike w:val="false"/>
      <w:sz w:val="24"/>
      <w:szCs w:val="24"/>
      <w:u w:val="none"/>
      <w:effect w:val="none"/>
    </w:rPr>
  </w:style>
  <w:style w:styleId="style19" w:type="character">
    <w:name w:val="apple-style-span"/>
    <w:basedOn w:val="style15"/>
    <w:next w:val="style19"/>
    <w:rPr/>
  </w:style>
  <w:style w:styleId="style20" w:type="character">
    <w:name w:val="Link da Internet"/>
    <w:next w:val="style20"/>
    <w:rPr>
      <w:color w:val="000080"/>
      <w:u w:val="single"/>
      <w:lang w:bidi="zxx-" w:eastAsia="zxx-" w:val="zxx-"/>
    </w:rPr>
  </w:style>
  <w:style w:styleId="style21" w:type="character">
    <w:name w:val="Quote Char"/>
    <w:next w:val="style21"/>
    <w:rPr>
      <w:rFonts w:ascii="Arial" w:cs="Tahoma" w:eastAsia="Calibri" w:hAnsi="Arial"/>
      <w:i/>
      <w:iCs/>
      <w:color w:val="000000"/>
      <w:szCs w:val="24"/>
      <w:shd w:fill="FFFFCC" w:val="clear"/>
      <w:lang w:eastAsia="en-US"/>
    </w:rPr>
  </w:style>
  <w:style w:styleId="style22" w:type="character">
    <w:name w:val="citação 2 Char"/>
    <w:basedOn w:val="style21"/>
    <w:next w:val="style22"/>
    <w:rPr>
      <w:rFonts w:ascii="Arial" w:cs="Tahoma" w:eastAsia="Calibri" w:hAnsi="Arial"/>
      <w:i/>
      <w:iCs/>
      <w:color w:val="000000"/>
      <w:szCs w:val="24"/>
      <w:shd w:fill="FFFFCC" w:val="clear"/>
      <w:lang w:eastAsia="en-US"/>
    </w:rPr>
  </w:style>
  <w:style w:styleId="style23" w:type="character">
    <w:name w:val="Header Char"/>
    <w:next w:val="style23"/>
    <w:rPr>
      <w:rFonts w:ascii="Ecofont_Spranq_eco_Sans" w:cs="Tahoma" w:hAnsi="Ecofont_Spranq_eco_Sans"/>
      <w:sz w:val="24"/>
      <w:szCs w:val="24"/>
    </w:rPr>
  </w:style>
  <w:style w:styleId="style24" w:type="character">
    <w:name w:val="Footer Char"/>
    <w:next w:val="style24"/>
    <w:rPr>
      <w:rFonts w:ascii="Ecofont_Spranq_eco_Sans" w:cs="Tahoma" w:hAnsi="Ecofont_Spranq_eco_Sans"/>
      <w:sz w:val="24"/>
      <w:szCs w:val="24"/>
    </w:rPr>
  </w:style>
  <w:style w:styleId="style25" w:type="character">
    <w:name w:val="Ênfase"/>
    <w:next w:val="style25"/>
    <w:rPr>
      <w:i/>
      <w:iCs/>
    </w:rPr>
  </w:style>
  <w:style w:styleId="style26" w:type="character">
    <w:name w:val="Heading 1 Char"/>
    <w:basedOn w:val="style15"/>
    <w:next w:val="style26"/>
    <w:rPr>
      <w:rFonts w:ascii="Cambria" w:cs="" w:hAnsi="Cambria"/>
      <w:color w:val="365F91"/>
      <w:sz w:val="32"/>
      <w:szCs w:val="32"/>
    </w:rPr>
  </w:style>
  <w:style w:styleId="style27" w:type="character">
    <w:name w:val="Nivel 01 Char"/>
    <w:basedOn w:val="style15"/>
    <w:next w:val="style27"/>
    <w:rPr>
      <w:rFonts w:ascii="Ecofont_Spranq_eco_Sans" w:cs="" w:hAnsi="Ecofont_Spranq_eco_Sans"/>
      <w:b/>
      <w:bCs/>
      <w:color w:val="000000"/>
    </w:rPr>
  </w:style>
  <w:style w:styleId="style28" w:type="character">
    <w:name w:val="ListLabel 1"/>
    <w:next w:val="style28"/>
    <w:rPr>
      <w:b/>
    </w:rPr>
  </w:style>
  <w:style w:styleId="style29" w:type="character">
    <w:name w:val="ListLabel 2"/>
    <w:next w:val="style29"/>
    <w:rPr>
      <w:rFonts w:cs="Arial"/>
      <w:b w:val="false"/>
      <w:color w:val="00000A"/>
      <w:sz w:val="20"/>
      <w:szCs w:val="20"/>
    </w:rPr>
  </w:style>
  <w:style w:styleId="style30" w:type="character">
    <w:name w:val="ListLabel 3"/>
    <w:next w:val="style30"/>
    <w:rPr>
      <w:b w:val="false"/>
      <w:color w:val="00000A"/>
      <w:sz w:val="20"/>
      <w:szCs w:val="20"/>
    </w:rPr>
  </w:style>
  <w:style w:styleId="style31" w:type="character">
    <w:name w:val="ListLabel 4"/>
    <w:next w:val="style31"/>
    <w:rPr>
      <w:rFonts w:eastAsia="Arial Unicode MS"/>
    </w:rPr>
  </w:style>
  <w:style w:styleId="style32" w:type="character">
    <w:name w:val="ListLabel 5"/>
    <w:next w:val="style32"/>
    <w:rPr>
      <w:rFonts w:cs="Arial"/>
      <w:i/>
      <w:color w:val="FF0000"/>
    </w:rPr>
  </w:style>
  <w:style w:styleId="style33" w:type="character">
    <w:name w:val="ListLabel 6"/>
    <w:next w:val="style33"/>
    <w:rPr>
      <w:color w:val="0000FF"/>
    </w:rPr>
  </w:style>
  <w:style w:styleId="style34" w:type="character">
    <w:name w:val="ListLabel 7"/>
    <w:next w:val="style34"/>
    <w:rPr>
      <w:b w:val="false"/>
    </w:rPr>
  </w:style>
  <w:style w:styleId="style35" w:type="character">
    <w:name w:val="ListLabel 8"/>
    <w:next w:val="style35"/>
    <w:rPr>
      <w:b/>
      <w:i w:val="false"/>
    </w:rPr>
  </w:style>
  <w:style w:styleId="style36" w:type="character">
    <w:name w:val="ListLabel 9"/>
    <w:next w:val="style36"/>
    <w:rPr>
      <w:b/>
      <w:i w:val="false"/>
      <w:color w:val="00000A"/>
    </w:rPr>
  </w:style>
  <w:style w:styleId="style37" w:type="character">
    <w:name w:val="ListLabel 10"/>
    <w:next w:val="style37"/>
    <w:rPr>
      <w:sz w:val="20"/>
      <w:szCs w:val="20"/>
    </w:rPr>
  </w:style>
  <w:style w:styleId="style38" w:type="character">
    <w:name w:val="ListLabel 11"/>
    <w:next w:val="style38"/>
    <w:rPr>
      <w:b w:val="false"/>
      <w:sz w:val="20"/>
      <w:szCs w:val="20"/>
    </w:rPr>
  </w:style>
  <w:style w:styleId="style39" w:type="character">
    <w:name w:val="ListLabel 12"/>
    <w:next w:val="style39"/>
    <w:rPr>
      <w:rFonts w:ascii="Calibri" w:hAnsi="Calibri"/>
      <w:b/>
      <w:sz w:val="22"/>
      <w:szCs w:val="22"/>
    </w:rPr>
  </w:style>
  <w:style w:styleId="style40" w:type="character">
    <w:name w:val="ListLabel 13"/>
    <w:next w:val="style40"/>
    <w:rPr>
      <w:b w:val="false"/>
      <w:color w:val="00000A"/>
      <w:sz w:val="20"/>
      <w:szCs w:val="20"/>
    </w:rPr>
  </w:style>
  <w:style w:styleId="style41" w:type="character">
    <w:name w:val="ListLabel 14"/>
    <w:next w:val="style41"/>
    <w:rPr>
      <w:rFonts w:cs="Symbol"/>
    </w:rPr>
  </w:style>
  <w:style w:styleId="style42" w:type="character">
    <w:name w:val="ListLabel 15"/>
    <w:next w:val="style42"/>
    <w:rPr>
      <w:sz w:val="20"/>
      <w:szCs w:val="20"/>
    </w:rPr>
  </w:style>
  <w:style w:styleId="style43" w:type="character">
    <w:name w:val="ListLabel 16"/>
    <w:next w:val="style43"/>
    <w:rPr>
      <w:b/>
      <w:sz w:val="22"/>
      <w:szCs w:val="22"/>
    </w:rPr>
  </w:style>
  <w:style w:styleId="style44" w:type="character">
    <w:name w:val="ListLabel 17"/>
    <w:next w:val="style44"/>
    <w:rPr>
      <w:b w:val="false"/>
      <w:color w:val="00000A"/>
      <w:sz w:val="20"/>
      <w:szCs w:val="20"/>
    </w:rPr>
  </w:style>
  <w:style w:styleId="style45" w:type="character">
    <w:name w:val="ListLabel 18"/>
    <w:next w:val="style45"/>
    <w:rPr>
      <w:sz w:val="20"/>
      <w:szCs w:val="20"/>
    </w:rPr>
  </w:style>
  <w:style w:styleId="style46" w:type="character">
    <w:name w:val="ListLabel 19"/>
    <w:next w:val="style46"/>
    <w:rPr>
      <w:b/>
      <w:sz w:val="22"/>
      <w:szCs w:val="22"/>
    </w:rPr>
  </w:style>
  <w:style w:styleId="style47" w:type="character">
    <w:name w:val="ListLabel 20"/>
    <w:next w:val="style47"/>
    <w:rPr>
      <w:b w:val="false"/>
      <w:color w:val="00000A"/>
      <w:sz w:val="20"/>
      <w:szCs w:val="20"/>
    </w:rPr>
  </w:style>
  <w:style w:styleId="style48" w:type="character">
    <w:name w:val="ListLabel 21"/>
    <w:next w:val="style48"/>
    <w:rPr>
      <w:sz w:val="20"/>
      <w:szCs w:val="20"/>
    </w:rPr>
  </w:style>
  <w:style w:styleId="style49" w:type="character">
    <w:name w:val="ListLabel 22"/>
    <w:next w:val="style49"/>
    <w:rPr>
      <w:b/>
      <w:sz w:val="22"/>
      <w:szCs w:val="22"/>
    </w:rPr>
  </w:style>
  <w:style w:styleId="style50" w:type="character">
    <w:name w:val="ListLabel 23"/>
    <w:next w:val="style50"/>
    <w:rPr>
      <w:b w:val="false"/>
      <w:color w:val="00000A"/>
      <w:sz w:val="20"/>
      <w:szCs w:val="20"/>
    </w:rPr>
  </w:style>
  <w:style w:styleId="style51" w:type="character">
    <w:name w:val="ListLabel 24"/>
    <w:next w:val="style51"/>
    <w:rPr>
      <w:sz w:val="20"/>
      <w:szCs w:val="20"/>
    </w:rPr>
  </w:style>
  <w:style w:styleId="style52" w:type="character">
    <w:name w:val="ListLabel 25"/>
    <w:next w:val="style52"/>
    <w:rPr>
      <w:b/>
      <w:sz w:val="22"/>
      <w:szCs w:val="22"/>
    </w:rPr>
  </w:style>
  <w:style w:styleId="style53" w:type="character">
    <w:name w:val="ListLabel 26"/>
    <w:next w:val="style53"/>
    <w:rPr>
      <w:b w:val="false"/>
      <w:color w:val="00000A"/>
      <w:sz w:val="20"/>
      <w:szCs w:val="20"/>
    </w:rPr>
  </w:style>
  <w:style w:styleId="style54" w:type="character">
    <w:name w:val="ListLabel 27"/>
    <w:next w:val="style54"/>
    <w:rPr>
      <w:sz w:val="20"/>
      <w:szCs w:val="20"/>
    </w:rPr>
  </w:style>
  <w:style w:styleId="style55" w:type="character">
    <w:name w:val="ListLabel 28"/>
    <w:next w:val="style55"/>
    <w:rPr>
      <w:b/>
      <w:sz w:val="22"/>
      <w:szCs w:val="22"/>
    </w:rPr>
  </w:style>
  <w:style w:styleId="style56" w:type="character">
    <w:name w:val="ListLabel 29"/>
    <w:next w:val="style56"/>
    <w:rPr>
      <w:b w:val="false"/>
      <w:color w:val="00000A"/>
      <w:sz w:val="20"/>
      <w:szCs w:val="20"/>
    </w:rPr>
  </w:style>
  <w:style w:styleId="style57" w:type="character">
    <w:name w:val="ListLabel 30"/>
    <w:next w:val="style57"/>
    <w:rPr>
      <w:sz w:val="20"/>
      <w:szCs w:val="20"/>
    </w:rPr>
  </w:style>
  <w:style w:styleId="style58" w:type="character">
    <w:name w:val="ListLabel 31"/>
    <w:next w:val="style58"/>
    <w:rPr>
      <w:b/>
      <w:sz w:val="22"/>
      <w:szCs w:val="22"/>
    </w:rPr>
  </w:style>
  <w:style w:styleId="style59" w:type="character">
    <w:name w:val="ListLabel 32"/>
    <w:next w:val="style59"/>
    <w:rPr>
      <w:b w:val="false"/>
      <w:color w:val="00000A"/>
      <w:sz w:val="20"/>
      <w:szCs w:val="20"/>
    </w:rPr>
  </w:style>
  <w:style w:styleId="style60" w:type="character">
    <w:name w:val="ListLabel 33"/>
    <w:next w:val="style60"/>
    <w:rPr>
      <w:sz w:val="20"/>
      <w:szCs w:val="20"/>
    </w:rPr>
  </w:style>
  <w:style w:styleId="style61" w:type="character">
    <w:name w:val="ListLabel 34"/>
    <w:next w:val="style61"/>
    <w:rPr>
      <w:b/>
      <w:sz w:val="22"/>
      <w:szCs w:val="22"/>
    </w:rPr>
  </w:style>
  <w:style w:styleId="style62" w:type="character">
    <w:name w:val="ListLabel 35"/>
    <w:next w:val="style62"/>
    <w:rPr>
      <w:b w:val="false"/>
      <w:color w:val="00000A"/>
      <w:sz w:val="20"/>
      <w:szCs w:val="20"/>
    </w:rPr>
  </w:style>
  <w:style w:styleId="style63" w:type="character">
    <w:name w:val="ListLabel 36"/>
    <w:next w:val="style63"/>
    <w:rPr>
      <w:sz w:val="20"/>
      <w:szCs w:val="20"/>
    </w:rPr>
  </w:style>
  <w:style w:styleId="style64" w:type="character">
    <w:name w:val="ListLabel 37"/>
    <w:next w:val="style64"/>
    <w:rPr>
      <w:b/>
      <w:sz w:val="22"/>
      <w:szCs w:val="22"/>
    </w:rPr>
  </w:style>
  <w:style w:styleId="style65" w:type="character">
    <w:name w:val="ListLabel 38"/>
    <w:next w:val="style65"/>
    <w:rPr>
      <w:b w:val="false"/>
      <w:color w:val="00000A"/>
      <w:sz w:val="20"/>
      <w:szCs w:val="20"/>
    </w:rPr>
  </w:style>
  <w:style w:styleId="style66" w:type="character">
    <w:name w:val="ListLabel 39"/>
    <w:next w:val="style66"/>
    <w:rPr>
      <w:sz w:val="20"/>
      <w:szCs w:val="20"/>
    </w:rPr>
  </w:style>
  <w:style w:styleId="style67" w:type="character">
    <w:name w:val="ListLabel 40"/>
    <w:next w:val="style67"/>
    <w:rPr>
      <w:b/>
      <w:sz w:val="22"/>
      <w:szCs w:val="22"/>
    </w:rPr>
  </w:style>
  <w:style w:styleId="style68" w:type="character">
    <w:name w:val="ListLabel 41"/>
    <w:next w:val="style68"/>
    <w:rPr>
      <w:b w:val="false"/>
      <w:color w:val="00000A"/>
      <w:sz w:val="20"/>
      <w:szCs w:val="20"/>
    </w:rPr>
  </w:style>
  <w:style w:styleId="style69" w:type="character">
    <w:name w:val="ListLabel 42"/>
    <w:next w:val="style69"/>
    <w:rPr>
      <w:sz w:val="20"/>
      <w:szCs w:val="20"/>
    </w:rPr>
  </w:style>
  <w:style w:styleId="style70" w:type="character">
    <w:name w:val="ListLabel 43"/>
    <w:next w:val="style70"/>
    <w:rPr>
      <w:b/>
      <w:sz w:val="22"/>
      <w:szCs w:val="22"/>
    </w:rPr>
  </w:style>
  <w:style w:styleId="style71" w:type="character">
    <w:name w:val="ListLabel 44"/>
    <w:next w:val="style71"/>
    <w:rPr>
      <w:b w:val="false"/>
      <w:color w:val="00000A"/>
      <w:sz w:val="20"/>
      <w:szCs w:val="20"/>
    </w:rPr>
  </w:style>
  <w:style w:styleId="style72" w:type="character">
    <w:name w:val="ListLabel 45"/>
    <w:next w:val="style72"/>
    <w:rPr>
      <w:sz w:val="20"/>
      <w:szCs w:val="20"/>
    </w:rPr>
  </w:style>
  <w:style w:styleId="style73" w:type="character">
    <w:name w:val="ListLabel 46"/>
    <w:next w:val="style73"/>
    <w:rPr>
      <w:b/>
      <w:sz w:val="22"/>
      <w:szCs w:val="22"/>
    </w:rPr>
  </w:style>
  <w:style w:styleId="style74" w:type="character">
    <w:name w:val="ListLabel 47"/>
    <w:next w:val="style74"/>
    <w:rPr>
      <w:b w:val="false"/>
      <w:color w:val="00000A"/>
      <w:sz w:val="20"/>
      <w:szCs w:val="20"/>
    </w:rPr>
  </w:style>
  <w:style w:styleId="style75" w:type="character">
    <w:name w:val="ListLabel 48"/>
    <w:next w:val="style75"/>
    <w:rPr>
      <w:sz w:val="20"/>
      <w:szCs w:val="20"/>
    </w:rPr>
  </w:style>
  <w:style w:styleId="style76" w:type="character">
    <w:name w:val="ListLabel 49"/>
    <w:next w:val="style76"/>
    <w:rPr>
      <w:b/>
      <w:sz w:val="22"/>
      <w:szCs w:val="22"/>
    </w:rPr>
  </w:style>
  <w:style w:styleId="style77" w:type="character">
    <w:name w:val="ListLabel 50"/>
    <w:next w:val="style77"/>
    <w:rPr>
      <w:b w:val="false"/>
      <w:color w:val="00000A"/>
      <w:sz w:val="20"/>
      <w:szCs w:val="20"/>
    </w:rPr>
  </w:style>
  <w:style w:styleId="style78" w:type="character">
    <w:name w:val="ListLabel 51"/>
    <w:next w:val="style78"/>
    <w:rPr>
      <w:sz w:val="20"/>
      <w:szCs w:val="20"/>
    </w:rPr>
  </w:style>
  <w:style w:styleId="style79" w:type="paragraph">
    <w:name w:val="Título"/>
    <w:basedOn w:val="style0"/>
    <w:next w:val="style80"/>
    <w:pPr>
      <w:keepNext/>
      <w:spacing w:after="120" w:before="240"/>
      <w:contextualSpacing w:val="false"/>
    </w:pPr>
    <w:rPr>
      <w:rFonts w:ascii="Arial" w:cs="Mangal" w:eastAsia="Microsoft YaHei" w:hAnsi="Arial"/>
      <w:sz w:val="28"/>
      <w:szCs w:val="28"/>
    </w:rPr>
  </w:style>
  <w:style w:styleId="style80" w:type="paragraph">
    <w:name w:val="Corpo do texto"/>
    <w:basedOn w:val="style0"/>
    <w:next w:val="style80"/>
    <w:pPr>
      <w:spacing w:after="120" w:before="0"/>
      <w:contextualSpacing w:val="false"/>
    </w:pPr>
    <w:rPr/>
  </w:style>
  <w:style w:styleId="style81" w:type="paragraph">
    <w:name w:val="Lista"/>
    <w:basedOn w:val="style80"/>
    <w:next w:val="style81"/>
    <w:pPr/>
    <w:rPr>
      <w:rFonts w:cs="Mangal"/>
    </w:rPr>
  </w:style>
  <w:style w:styleId="style82" w:type="paragraph">
    <w:name w:val="Legenda"/>
    <w:basedOn w:val="style0"/>
    <w:next w:val="style82"/>
    <w:pPr>
      <w:suppressLineNumbers/>
      <w:spacing w:after="120" w:before="120"/>
      <w:contextualSpacing w:val="false"/>
    </w:pPr>
    <w:rPr>
      <w:rFonts w:cs="Mangal"/>
      <w:i/>
      <w:iCs/>
      <w:sz w:val="24"/>
      <w:szCs w:val="24"/>
    </w:rPr>
  </w:style>
  <w:style w:styleId="style83" w:type="paragraph">
    <w:name w:val="Índice"/>
    <w:basedOn w:val="style0"/>
    <w:next w:val="style83"/>
    <w:pPr>
      <w:suppressLineNumbers/>
    </w:pPr>
    <w:rPr>
      <w:rFonts w:cs="Mangal"/>
    </w:rPr>
  </w:style>
  <w:style w:styleId="style84" w:type="paragraph">
    <w:name w:val="List Paragraph"/>
    <w:basedOn w:val="style0"/>
    <w:next w:val="style84"/>
    <w:pPr>
      <w:spacing w:after="0" w:before="0"/>
      <w:ind w:hanging="0" w:left="720" w:right="0"/>
      <w:contextualSpacing/>
    </w:pPr>
    <w:rPr/>
  </w:style>
  <w:style w:styleId="style85" w:type="paragraph">
    <w:name w:val="Normal (Web)"/>
    <w:basedOn w:val="style0"/>
    <w:next w:val="style85"/>
    <w:pPr>
      <w:spacing w:after="28" w:before="28"/>
      <w:contextualSpacing w:val="false"/>
    </w:pPr>
    <w:rPr>
      <w:rFonts w:ascii="Times New Roman" w:cs="Times New Roman" w:hAnsi="Times New Roman"/>
    </w:rPr>
  </w:style>
  <w:style w:styleId="style86" w:type="paragraph">
    <w:name w:val="Balloon Text"/>
    <w:basedOn w:val="style0"/>
    <w:next w:val="style86"/>
    <w:pPr/>
    <w:rPr>
      <w:rFonts w:ascii="Tahoma" w:hAnsi="Tahoma"/>
      <w:sz w:val="16"/>
      <w:szCs w:val="16"/>
    </w:rPr>
  </w:style>
  <w:style w:styleId="style87" w:type="paragraph">
    <w:name w:val="Nível 2"/>
    <w:basedOn w:val="style0"/>
    <w:next w:val="style87"/>
    <w:pPr>
      <w:spacing w:after="120" w:before="0"/>
      <w:contextualSpacing w:val="false"/>
      <w:jc w:val="both"/>
    </w:pPr>
    <w:rPr>
      <w:rFonts w:ascii="Arial" w:cs="Times New Roman" w:hAnsi="Arial"/>
      <w:b/>
      <w:szCs w:val="20"/>
    </w:rPr>
  </w:style>
  <w:style w:styleId="style88" w:type="paragraph">
    <w:name w:val="Quote"/>
    <w:basedOn w:val="style0"/>
    <w:next w:val="style88"/>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ascii="Arial" w:eastAsia="Calibri" w:hAnsi="Arial"/>
      <w:i/>
      <w:iCs/>
      <w:color w:val="000000"/>
      <w:sz w:val="20"/>
      <w:lang w:eastAsia="en-US"/>
    </w:rPr>
  </w:style>
  <w:style w:styleId="style89" w:type="paragraph">
    <w:name w:val="List Bullet 5"/>
    <w:basedOn w:val="style0"/>
    <w:next w:val="style89"/>
    <w:pPr>
      <w:spacing w:after="0" w:before="0"/>
      <w:contextualSpacing/>
    </w:pPr>
    <w:rPr/>
  </w:style>
  <w:style w:styleId="style90" w:type="paragraph">
    <w:name w:val="citação 2"/>
    <w:basedOn w:val="style88"/>
    <w:next w:val="style90"/>
    <w:pPr/>
    <w:rPr>
      <w:szCs w:val="20"/>
    </w:rPr>
  </w:style>
  <w:style w:styleId="style91" w:type="paragraph">
    <w:name w:val="Cabeçalho"/>
    <w:basedOn w:val="style0"/>
    <w:next w:val="style91"/>
    <w:pPr>
      <w:tabs>
        <w:tab w:leader="none" w:pos="4252" w:val="center"/>
        <w:tab w:leader="none" w:pos="8504" w:val="right"/>
      </w:tabs>
    </w:pPr>
    <w:rPr/>
  </w:style>
  <w:style w:styleId="style92" w:type="paragraph">
    <w:name w:val="Rodapé"/>
    <w:basedOn w:val="style0"/>
    <w:next w:val="style92"/>
    <w:pPr>
      <w:tabs>
        <w:tab w:leader="none" w:pos="4252" w:val="center"/>
        <w:tab w:leader="none" w:pos="8504" w:val="right"/>
      </w:tabs>
    </w:pPr>
    <w:rPr/>
  </w:style>
  <w:style w:styleId="style93" w:type="paragraph">
    <w:name w:val="Nivel1"/>
    <w:basedOn w:val="style1"/>
    <w:next w:val="style93"/>
    <w:pPr>
      <w:spacing w:after="120" w:before="480" w:line="276" w:lineRule="auto"/>
      <w:ind w:hanging="357" w:left="357" w:right="0"/>
      <w:contextualSpacing w:val="false"/>
      <w:jc w:val="both"/>
    </w:pPr>
    <w:rPr>
      <w:rFonts w:ascii="Arial" w:cs="Arial" w:hAnsi="Arial"/>
      <w:b/>
      <w:color w:val="000000"/>
      <w:sz w:val="20"/>
      <w:szCs w:val="20"/>
    </w:rPr>
  </w:style>
  <w:style w:styleId="style94" w:type="paragraph">
    <w:name w:val="Nivel 01"/>
    <w:basedOn w:val="style1"/>
    <w:next w:val="style94"/>
    <w:pPr>
      <w:tabs>
        <w:tab w:leader="none" w:pos="567" w:val="left"/>
      </w:tabs>
      <w:jc w:val="both"/>
    </w:pPr>
    <w:rPr>
      <w:rFonts w:ascii="Ecofont_Spranq_eco_Sans" w:cs="Times New Roman" w:hAnsi="Ecofont_Spranq_eco_Sans"/>
      <w:b/>
      <w:bCs/>
      <w:color w:val="000000"/>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portaldatransparencia.gov.br/ceis" TargetMode="External"/><Relationship Id="rId4" Type="http://schemas.openxmlformats.org/officeDocument/2006/relationships/hyperlink" Target="http://www.cnj.jus.br/improbidade_adm/consultar_requerido.php" TargetMode="External"/><Relationship Id="rId5" Type="http://schemas.openxmlformats.org/officeDocument/2006/relationships/hyperlink" Target="mailto:xxxxx@xxxxxx.gov.br" TargetMode="External"/><Relationship Id="rId6" Type="http://schemas.openxmlformats.org/officeDocument/2006/relationships/hyperlink" Target="mailto:cpl@svc.ifmt.edu.br" TargetMode="External"/><Relationship Id="rId7" Type="http://schemas.openxmlformats.org/officeDocument/2006/relationships/hyperlink" Target="mailto:cpl@svc.ifmt.edu.br" TargetMode="Externa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D:\adriano.carrijo\AppData\Roaming\Microsoft\Modelos\modelo de modelo de minuta.dotx</Template>
  <TotalTime>47</TotalTime>
  <Application>LibreOffice/4.1.0.4$Windows_x86 LibreOffice_project/89ea49ddacd9aa532507cbf852f2bb22b1ace28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2014-01-21T11:45:00Z</dcterms:created>
  <dc:creator>Adriano</dc:creator>
  <cp:lastModifiedBy>Manoel Filho</cp:lastModifiedBy>
  <cp:lastPrinted>2010-11-03T19:07:00Z</cp:lastPrinted>
  <dcterms:modified xsi:type="dcterms:W3CDTF">2016-01-07T20:12:00Z</dcterms:modified>
  <cp:revision>28</cp:revision>
  <dc:title>NOTAS EXPLICATIVAS</dc:title>
</cp:coreProperties>
</file>