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3.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pPr>
      <w:r>
        <w:rPr/>
        <w:drawing>
          <wp:inline distB="0" distL="0" distR="0" distT="0">
            <wp:extent cx="668020" cy="61531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68020" cy="615315"/>
                    </a:xfrm>
                    <a:prstGeom prst="rect">
                      <a:avLst/>
                    </a:prstGeom>
                    <a:noFill/>
                    <a:ln w="9525">
                      <a:noFill/>
                      <a:miter lim="800000"/>
                      <a:headEnd/>
                      <a:tailEnd/>
                    </a:ln>
                  </pic:spPr>
                </pic:pic>
              </a:graphicData>
            </a:graphic>
          </wp:inline>
        </w:drawing>
      </w:r>
    </w:p>
    <w:p>
      <w:pPr>
        <w:pStyle w:val="style0"/>
        <w:jc w:val="center"/>
        <w:rPr>
          <w:rFonts w:ascii="Calibri" w:cs="Arial" w:hAnsi="Calibri"/>
          <w:b/>
          <w:i w:val="false"/>
          <w:iCs w:val="false"/>
          <w:color w:val="000000"/>
          <w:sz w:val="22"/>
          <w:szCs w:val="22"/>
        </w:rPr>
      </w:pPr>
      <w:r>
        <w:rPr>
          <w:rFonts w:ascii="Calibri" w:cs="Arial" w:hAnsi="Calibri"/>
          <w:b/>
          <w:i w:val="false"/>
          <w:iCs w:val="false"/>
          <w:color w:val="000000"/>
          <w:sz w:val="22"/>
          <w:szCs w:val="22"/>
        </w:rPr>
        <w:t>SERVIÇO PÚBLICO FEDERAL</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 xml:space="preserve">INSTITUTO FEDERAL DE EDUCAÇÃO, CIÊNCIA E TECNOLOGIA DE MATO GROSSO </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CAMPUS SÃO VICENTE</w:t>
      </w:r>
    </w:p>
    <w:p>
      <w:pPr>
        <w:pStyle w:val="style0"/>
        <w:jc w:val="center"/>
        <w:rPr/>
      </w:pPr>
      <w:r>
        <w:rPr/>
      </w:r>
    </w:p>
    <w:p>
      <w:pPr>
        <w:pStyle w:val="style0"/>
        <w:jc w:val="center"/>
        <w:rPr/>
      </w:pPr>
      <w:r>
        <w:rPr/>
      </w:r>
    </w:p>
    <w:p>
      <w:pPr>
        <w:pStyle w:val="style0"/>
        <w:jc w:val="center"/>
        <w:rPr>
          <w:rFonts w:cs="Arial"/>
          <w:b/>
          <w:bCs/>
          <w:color w:val="000000"/>
          <w:sz w:val="20"/>
          <w:szCs w:val="20"/>
        </w:rPr>
      </w:pPr>
      <w:r>
        <w:rPr>
          <w:rFonts w:cs="Arial"/>
          <w:b/>
          <w:bCs/>
          <w:color w:val="000000"/>
          <w:sz w:val="20"/>
          <w:szCs w:val="20"/>
        </w:rPr>
        <w:t>TERMO DE REFERÊNCIA</w:t>
      </w:r>
    </w:p>
    <w:p>
      <w:pPr>
        <w:pStyle w:val="style0"/>
        <w:widowControl/>
        <w:suppressAutoHyphens w:val="true"/>
        <w:ind w:hanging="0" w:left="73" w:right="0"/>
        <w:jc w:val="center"/>
        <w:rPr>
          <w:rFonts w:cs="Arial"/>
          <w:b/>
          <w:bCs/>
          <w:sz w:val="20"/>
          <w:szCs w:val="20"/>
        </w:rPr>
      </w:pPr>
      <w:r>
        <w:rPr>
          <w:rFonts w:cs="Arial"/>
          <w:b/>
          <w:bCs/>
          <w:sz w:val="20"/>
          <w:szCs w:val="20"/>
        </w:rPr>
        <w:t>Sistema de Registro de Preços</w:t>
      </w:r>
    </w:p>
    <w:p>
      <w:pPr>
        <w:pStyle w:val="style0"/>
        <w:jc w:val="center"/>
        <w:rPr>
          <w:rFonts w:cs="Arial"/>
          <w:bCs/>
          <w:color w:val="000000"/>
          <w:sz w:val="20"/>
          <w:szCs w:val="20"/>
        </w:rPr>
      </w:pPr>
      <w:r>
        <w:rPr>
          <w:rFonts w:cs="Arial"/>
          <w:bCs/>
          <w:color w:val="000000"/>
          <w:sz w:val="20"/>
          <w:szCs w:val="20"/>
        </w:rPr>
        <w:t>(Processo Administrativo n.° 23197.024540.2016-08)</w:t>
      </w:r>
    </w:p>
    <w:p>
      <w:pPr>
        <w:pStyle w:val="style0"/>
        <w:spacing w:after="120" w:before="0" w:line="276" w:lineRule="auto"/>
        <w:ind w:hanging="0" w:left="0" w:right="-15"/>
        <w:contextualSpacing w:val="false"/>
        <w:jc w:val="center"/>
        <w:rPr>
          <w:rFonts w:cs="Arial"/>
          <w:b/>
          <w:bCs/>
          <w:color w:val="000000"/>
          <w:sz w:val="20"/>
          <w:szCs w:val="20"/>
        </w:rPr>
      </w:pPr>
      <w:r>
        <w:rPr>
          <w:rFonts w:cs="Arial"/>
          <w:b/>
          <w:bCs/>
          <w:color w:val="000000"/>
          <w:sz w:val="20"/>
          <w:szCs w:val="20"/>
        </w:rPr>
      </w:r>
    </w:p>
    <w:p>
      <w:pPr>
        <w:pStyle w:val="style0"/>
        <w:numPr>
          <w:ilvl w:val="0"/>
          <w:numId w:val="1"/>
        </w:numPr>
        <w:spacing w:after="120" w:before="0" w:line="276" w:lineRule="auto"/>
        <w:ind w:hanging="360" w:left="360" w:right="-15"/>
        <w:contextualSpacing w:val="false"/>
        <w:jc w:val="both"/>
        <w:rPr>
          <w:rFonts w:ascii="Calibri" w:cs="Arial" w:hAnsi="Calibri"/>
          <w:b/>
          <w:i w:val="false"/>
          <w:iCs w:val="false"/>
          <w:color w:val="000000"/>
          <w:sz w:val="22"/>
          <w:szCs w:val="22"/>
        </w:rPr>
      </w:pPr>
      <w:r>
        <w:rPr>
          <w:rFonts w:ascii="Calibri" w:cs="Arial" w:hAnsi="Calibri"/>
          <w:b/>
          <w:i w:val="false"/>
          <w:iCs w:val="false"/>
          <w:color w:val="000000"/>
          <w:sz w:val="22"/>
          <w:szCs w:val="22"/>
        </w:rPr>
        <w:t>DO OBJETO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i w:val="false"/>
          <w:iCs w:val="false"/>
          <w:color w:val="000000"/>
          <w:sz w:val="22"/>
          <w:szCs w:val="22"/>
        </w:rPr>
      </w:pPr>
      <w:r>
        <w:rPr>
          <w:rFonts w:ascii="Calibri" w:cs="Arial" w:hAnsi="Calibri"/>
          <w:i w:val="false"/>
          <w:iCs w:val="false"/>
          <w:color w:val="000000"/>
          <w:sz w:val="22"/>
          <w:szCs w:val="22"/>
        </w:rPr>
        <w:t xml:space="preserve">Aquisição de </w:t>
      </w:r>
      <w:bookmarkStart w:id="0" w:name="__DdeLink__42611_122964224"/>
      <w:r>
        <w:rPr>
          <w:rFonts w:ascii="Calibri" w:cs="Arial" w:hAnsi="Calibri"/>
          <w:b/>
          <w:bCs/>
          <w:i w:val="false"/>
          <w:iCs w:val="false"/>
          <w:color w:val="000000"/>
          <w:sz w:val="22"/>
          <w:szCs w:val="22"/>
        </w:rPr>
        <w:t>AQUISIÇÃO DE SUPRIMENTOS DE INFORMÁTICA E DE ELÉTRICA</w:t>
      </w:r>
      <w:bookmarkEnd w:id="0"/>
      <w:r>
        <w:rPr>
          <w:rFonts w:ascii="Calibri" w:cs="Arial" w:hAnsi="Calibri"/>
          <w:b/>
          <w:i w:val="false"/>
          <w:iCs w:val="false"/>
          <w:color w:val="000000"/>
          <w:sz w:val="22"/>
          <w:szCs w:val="22"/>
        </w:rPr>
        <w:t>,</w:t>
      </w:r>
      <w:r>
        <w:rPr>
          <w:rFonts w:ascii="Calibri" w:cs="Arial" w:hAnsi="Calibri"/>
          <w:i w:val="false"/>
          <w:iCs w:val="false"/>
          <w:color w:val="000000"/>
          <w:sz w:val="22"/>
          <w:szCs w:val="22"/>
        </w:rPr>
        <w:t xml:space="preserve"> conforme condições, quantidades, exigências e estimativas, inclusive as encaminhadas pelos órgãos e entidades participantes estabelecidas neste instrumento:</w:t>
      </w:r>
    </w:p>
    <w:tbl>
      <w:tblPr>
        <w:jc w:val="left"/>
        <w:tblInd w:type="dxa" w:w="-9"/>
        <w:tblBorders>
          <w:top w:color="000001" w:space="0" w:sz="2" w:val="single"/>
          <w:left w:color="000001" w:space="0" w:sz="2" w:val="single"/>
          <w:bottom w:color="000001" w:space="0" w:sz="2" w:val="single"/>
          <w:insideH w:color="000001" w:space="0" w:sz="2" w:val="single"/>
          <w:right w:val="nil"/>
          <w:insideV w:val="nil"/>
        </w:tblBorders>
        <w:tblCellMar>
          <w:top w:type="dxa" w:w="55"/>
          <w:left w:type="dxa" w:w="15"/>
          <w:bottom w:type="dxa" w:w="55"/>
          <w:right w:type="dxa" w:w="55"/>
        </w:tblCellMar>
      </w:tblPr>
      <w:tblGrid>
        <w:gridCol w:w="611"/>
        <w:gridCol w:w="981"/>
        <w:gridCol w:w="570"/>
        <w:gridCol w:w="666"/>
        <w:gridCol w:w="3203"/>
        <w:gridCol w:w="885"/>
        <w:gridCol w:w="1155"/>
        <w:gridCol w:w="1031"/>
      </w:tblGrid>
      <w:tr>
        <w:trPr>
          <w:trHeight w:hRule="atLeast" w:val="420"/>
          <w:cantSplit w:val="false"/>
        </w:trPr>
        <w:tc>
          <w:tcPr>
            <w:tcW w:type="dxa" w:w="611"/>
            <w:tcBorders>
              <w:top w:color="000001" w:space="0" w:sz="2" w:val="single"/>
              <w:left w:color="000001" w:space="0" w:sz="2" w:val="single"/>
              <w:bottom w:color="000001" w:space="0" w:sz="2" w:val="single"/>
              <w:right w:val="nil"/>
            </w:tcBorders>
            <w:shd w:fill="CCCCCC" w:val="clear"/>
            <w:tcMar>
              <w:left w:type="dxa" w:w="15"/>
            </w:tcMar>
          </w:tcPr>
          <w:p>
            <w:pPr>
              <w:pStyle w:val="style85"/>
              <w:jc w:val="center"/>
              <w:rPr>
                <w:rFonts w:ascii="Liberation Serif" w:hAnsi="Liberation Serif"/>
                <w:b/>
                <w:bCs/>
                <w:sz w:val="18"/>
                <w:szCs w:val="18"/>
              </w:rPr>
            </w:pPr>
            <w:r>
              <w:rPr>
                <w:rFonts w:ascii="Liberation Serif" w:hAnsi="Liberation Serif"/>
                <w:b/>
                <w:bCs/>
                <w:sz w:val="18"/>
                <w:szCs w:val="18"/>
              </w:rPr>
              <w:t>Item</w:t>
            </w:r>
          </w:p>
        </w:tc>
        <w:tc>
          <w:tcPr>
            <w:tcW w:type="dxa" w:w="981"/>
            <w:tcBorders>
              <w:top w:color="000001" w:space="0" w:sz="2" w:val="single"/>
              <w:left w:color="000001" w:space="0" w:sz="2" w:val="single"/>
              <w:bottom w:color="000001" w:space="0" w:sz="2" w:val="single"/>
              <w:right w:val="nil"/>
            </w:tcBorders>
            <w:shd w:fill="CCCCCC" w:val="clear"/>
            <w:tcMar>
              <w:left w:type="dxa" w:w="15"/>
            </w:tcMar>
          </w:tcPr>
          <w:p>
            <w:pPr>
              <w:pStyle w:val="style85"/>
              <w:jc w:val="center"/>
              <w:rPr>
                <w:rFonts w:ascii="Liberation Serif" w:hAnsi="Liberation Serif"/>
                <w:b/>
                <w:bCs/>
                <w:sz w:val="18"/>
                <w:szCs w:val="18"/>
              </w:rPr>
            </w:pPr>
            <w:r>
              <w:rPr>
                <w:rFonts w:ascii="Liberation Serif" w:hAnsi="Liberation Serif"/>
                <w:b/>
                <w:bCs/>
                <w:sz w:val="18"/>
                <w:szCs w:val="18"/>
              </w:rPr>
              <w:t>CATMAT</w:t>
            </w:r>
          </w:p>
        </w:tc>
        <w:tc>
          <w:tcPr>
            <w:tcW w:type="dxa" w:w="570"/>
            <w:tcBorders>
              <w:top w:color="000001" w:space="0" w:sz="2" w:val="single"/>
              <w:left w:color="000001" w:space="0" w:sz="2" w:val="single"/>
              <w:bottom w:color="000001" w:space="0" w:sz="2" w:val="single"/>
              <w:right w:val="nil"/>
            </w:tcBorders>
            <w:shd w:fill="CCCCCC" w:val="clear"/>
            <w:tcMar>
              <w:left w:type="dxa" w:w="15"/>
            </w:tcMar>
          </w:tcPr>
          <w:p>
            <w:pPr>
              <w:pStyle w:val="style85"/>
              <w:jc w:val="center"/>
              <w:rPr>
                <w:rFonts w:ascii="Liberation Serif" w:hAnsi="Liberation Serif"/>
                <w:b/>
                <w:bCs/>
                <w:sz w:val="18"/>
                <w:szCs w:val="18"/>
              </w:rPr>
            </w:pPr>
            <w:r>
              <w:rPr>
                <w:rFonts w:ascii="Liberation Serif" w:hAnsi="Liberation Serif"/>
                <w:b/>
                <w:bCs/>
                <w:sz w:val="18"/>
                <w:szCs w:val="18"/>
              </w:rPr>
              <w:t>Unid.</w:t>
            </w:r>
          </w:p>
        </w:tc>
        <w:tc>
          <w:tcPr>
            <w:tcW w:type="dxa" w:w="666"/>
            <w:tcBorders>
              <w:top w:color="000001" w:space="0" w:sz="2" w:val="single"/>
              <w:left w:color="000001" w:space="0" w:sz="2" w:val="single"/>
              <w:bottom w:color="000001" w:space="0" w:sz="2" w:val="single"/>
              <w:right w:val="nil"/>
            </w:tcBorders>
            <w:shd w:fill="CCCCCC" w:val="clear"/>
            <w:tcMar>
              <w:left w:type="dxa" w:w="15"/>
            </w:tcMar>
          </w:tcPr>
          <w:p>
            <w:pPr>
              <w:pStyle w:val="style85"/>
              <w:jc w:val="center"/>
              <w:rPr>
                <w:rFonts w:ascii="Liberation Serif" w:hAnsi="Liberation Serif"/>
                <w:b/>
                <w:bCs/>
                <w:sz w:val="18"/>
                <w:szCs w:val="18"/>
              </w:rPr>
            </w:pPr>
            <w:r>
              <w:rPr>
                <w:rFonts w:ascii="Liberation Serif" w:hAnsi="Liberation Serif"/>
                <w:b/>
                <w:bCs/>
                <w:sz w:val="18"/>
                <w:szCs w:val="18"/>
              </w:rPr>
              <w:t>Quant</w:t>
            </w:r>
          </w:p>
        </w:tc>
        <w:tc>
          <w:tcPr>
            <w:tcW w:type="dxa" w:w="3203"/>
            <w:tcBorders>
              <w:top w:color="000001" w:space="0" w:sz="2" w:val="single"/>
              <w:left w:color="000001" w:space="0" w:sz="2" w:val="single"/>
              <w:bottom w:color="000001" w:space="0" w:sz="2" w:val="single"/>
              <w:right w:val="nil"/>
            </w:tcBorders>
            <w:shd w:fill="CCCCCC" w:val="clear"/>
            <w:tcMar>
              <w:left w:type="dxa" w:w="15"/>
            </w:tcMar>
          </w:tcPr>
          <w:p>
            <w:pPr>
              <w:pStyle w:val="style85"/>
              <w:jc w:val="center"/>
              <w:rPr>
                <w:rFonts w:ascii="Liberation Serif" w:hAnsi="Liberation Serif"/>
                <w:b/>
                <w:bCs/>
                <w:sz w:val="18"/>
                <w:szCs w:val="18"/>
              </w:rPr>
            </w:pPr>
            <w:r>
              <w:rPr>
                <w:rFonts w:ascii="Liberation Serif" w:hAnsi="Liberation Serif"/>
                <w:b/>
                <w:bCs/>
                <w:sz w:val="18"/>
                <w:szCs w:val="18"/>
              </w:rPr>
              <w:t>Especificação Detalhada</w:t>
            </w:r>
          </w:p>
        </w:tc>
        <w:tc>
          <w:tcPr>
            <w:tcW w:type="dxa" w:w="885"/>
            <w:tcBorders>
              <w:top w:color="000001" w:space="0" w:sz="2" w:val="single"/>
              <w:left w:color="000001" w:space="0" w:sz="2" w:val="single"/>
              <w:bottom w:color="000001" w:space="0" w:sz="2" w:val="single"/>
              <w:right w:val="nil"/>
            </w:tcBorders>
            <w:shd w:fill="CCCCCC" w:val="clear"/>
            <w:tcMar>
              <w:left w:type="dxa" w:w="15"/>
            </w:tcMar>
          </w:tcPr>
          <w:p>
            <w:pPr>
              <w:pStyle w:val="style85"/>
              <w:jc w:val="center"/>
              <w:rPr>
                <w:rFonts w:ascii="Liberation Serif" w:hAnsi="Liberation Serif"/>
                <w:b/>
                <w:bCs/>
                <w:sz w:val="18"/>
                <w:szCs w:val="18"/>
              </w:rPr>
            </w:pPr>
            <w:r>
              <w:rPr>
                <w:rFonts w:ascii="Liberation Serif" w:hAnsi="Liberation Serif"/>
                <w:b/>
                <w:bCs/>
                <w:sz w:val="18"/>
                <w:szCs w:val="18"/>
              </w:rPr>
              <w:t>V. Unit.</w:t>
            </w:r>
          </w:p>
        </w:tc>
        <w:tc>
          <w:tcPr>
            <w:tcW w:type="dxa" w:w="1155"/>
            <w:tcBorders>
              <w:top w:color="000001" w:space="0" w:sz="2" w:val="single"/>
              <w:left w:color="000001" w:space="0" w:sz="2" w:val="single"/>
              <w:bottom w:color="000001" w:space="0" w:sz="2" w:val="single"/>
              <w:right w:val="nil"/>
            </w:tcBorders>
            <w:shd w:fill="CCCCCC" w:val="clear"/>
            <w:tcMar>
              <w:left w:type="dxa" w:w="15"/>
            </w:tcMar>
          </w:tcPr>
          <w:p>
            <w:pPr>
              <w:pStyle w:val="style85"/>
              <w:jc w:val="center"/>
              <w:rPr>
                <w:rFonts w:ascii="Liberation Serif" w:hAnsi="Liberation Serif"/>
                <w:b/>
                <w:bCs/>
                <w:sz w:val="18"/>
                <w:szCs w:val="18"/>
              </w:rPr>
            </w:pPr>
            <w:r>
              <w:rPr>
                <w:rFonts w:ascii="Liberation Serif" w:hAnsi="Liberation Serif"/>
                <w:b/>
                <w:bCs/>
                <w:sz w:val="18"/>
                <w:szCs w:val="18"/>
              </w:rPr>
              <w:t>V. Total</w:t>
            </w:r>
          </w:p>
        </w:tc>
        <w:tc>
          <w:tcPr>
            <w:tcW w:type="dxa" w:w="1031"/>
            <w:tcBorders>
              <w:top w:color="000001" w:space="0" w:sz="2" w:val="single"/>
              <w:left w:color="000001" w:space="0" w:sz="2" w:val="single"/>
              <w:bottom w:color="000001" w:space="0" w:sz="2" w:val="single"/>
              <w:right w:color="000001" w:space="0" w:sz="2" w:val="single"/>
            </w:tcBorders>
            <w:shd w:fill="CCCCCC" w:val="clear"/>
            <w:tcMar>
              <w:left w:type="dxa" w:w="15"/>
            </w:tcMar>
          </w:tcPr>
          <w:p>
            <w:pPr>
              <w:pStyle w:val="style85"/>
              <w:jc w:val="center"/>
              <w:rPr>
                <w:rFonts w:ascii="Liberation Serif" w:hAnsi="Liberation Serif"/>
                <w:b/>
                <w:bCs/>
                <w:sz w:val="18"/>
                <w:szCs w:val="18"/>
              </w:rPr>
            </w:pPr>
            <w:r>
              <w:rPr>
                <w:rFonts w:ascii="Liberation Serif" w:hAnsi="Liberation Serif"/>
                <w:b/>
                <w:bCs/>
                <w:sz w:val="18"/>
                <w:szCs w:val="18"/>
              </w:rPr>
              <w:t>Margem de Preferência</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340373</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84</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CONVERSOR DE MÍDIA GTS 75.1806C, 02 portas LAN de 10/100Mbps + 1 Fibra 100Mbps SC Multimodo 2Km.</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132,89</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11.162,76</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pPr>
            <w:r>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RACK PARA CONVERSOR DE MÍDIA GTS 75.1101, para 14 conversores de mídia. Deve ser compatível com conversores de midia 75.1806C – GTS.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1.022,20</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12.266,40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300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TAMPA CEGA - Tampa cega com 1U de altura para rack de 19 polegadas, cor preta, altura rack 1U, compatibilidade rack 19 polegadas, dimensões 47,7/4,5 cm (Larg/Alt)</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65,43</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19.629,00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290230</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323</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TESTADOR DE CABO DE REDE RJ11/RJ45</w:t>
              <w:br/>
              <w:t>DESCRIÇÃO:</w:t>
              <w:br/>
              <w:t>- Para cabos com conectores RJ-11 e RJ-45</w:t>
              <w:br/>
              <w:t>- Testa continuidade 1, 2, 3, 4, 5, 6, 7, 8 e G (terra)</w:t>
              <w:br/>
              <w:t>- Verifca conexão trocada, curto aberto e cruzado</w:t>
              <w:br/>
              <w:t>12 meses de garantia</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58,05</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18.750,15</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150117</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PLACA MÃE socket LGA 1151, som, vídeo e rede onboard 10/100/1000, suporte até 16GB de RAM, 2X SATA 2, USB 3.0 e 2.0. Manual do usuário em Inglês ou português (não será aceito manual em outro idioma).</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536,36</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24.136,20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150194</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PROCESSADOR para desktop Core i3 ou similar, socket LGA 1151.</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676,78</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30.455,10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MEMÓRIA RAM DDR3 8GB 1600MHZ, para desktop</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243,23</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19.458,40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PLACA MÃE DDR4, socket LGA 1151, som, vídeo e rede onboard 10/100/1000, suporte até 16GB de RAM, 2X SATA 2, USB 3.0 e 2.0.</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762,73</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22.881,90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PROCESSADOR para desktop Core i7 ou similar, socke LGA 1151.</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1.819,65</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54.589,50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10</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MEMÓRIA RAM DDR4 8GB 2133MHZ, para desktop</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318,47</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12.738,80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COOLER para processador socket 1151</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450,66</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18.026,40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GABINETE DESKTOP. 2 USB FRONTAL 2.0. Material: Compatível Placa Mãe: ATX / Micro-ATX Tamanho minimo : 453 (c) x 118 (l) × 340 (a) mm</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308,87</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10.810,45</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13</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387843</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COOLER para processador socket 775</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52,60</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3.945,00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14</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MEMÓRIA RAM DDR3 4GB 1333, para notebook marca HP</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140,68</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6.330,60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15</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424496</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MEMÓRIA RAM DDR3 4GB PC3-12800 (1600 MHZ), para notebook marca HP, modelo Probook 4440s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163,28</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4.898,40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16</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111406</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47</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PLACA DE REDE para servidor, PCI-E x4, com 4 portas RJ 45 10/100/1000. Compatível com servidores de perfil baixo e alto</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color w:val="000000"/>
                <w:sz w:val="18"/>
                <w:szCs w:val="18"/>
              </w:rPr>
            </w:pPr>
            <w:r>
              <w:rPr>
                <w:color w:val="000000"/>
                <w:sz w:val="18"/>
                <w:szCs w:val="18"/>
              </w:rPr>
              <w:t>1.392,02</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color w:val="000000"/>
                <w:sz w:val="18"/>
                <w:szCs w:val="18"/>
              </w:rPr>
            </w:pPr>
            <w:r>
              <w:rPr>
                <w:color w:val="000000"/>
                <w:sz w:val="18"/>
                <w:szCs w:val="18"/>
              </w:rPr>
              <w:t>65.424,94</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17</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111406</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52</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PLACA DE REDE para servidor, PCI-E x4, com 2 portas RJ 45 10/100/1000. Compatível com servidores de perfil baixo e alto</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889,23</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46.239,96</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18</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111406</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148</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PLACA DE REDE para computador desktop, PCI-E X1, com 2 portas RJ 45 10/100/1000. Compatível com computadores de perfil alto e baixo.</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396,67</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58.707,16</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19</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111406</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310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PLACA DE REDE para computador desktop, PCI-E X1, com 1 porta RJ 45 10/100/1000. Compatível com computadores de perfil alto e baixo.</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231,45</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71.749,50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20</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111406</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325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PLACA DE REDE para computador desktop, PCI, com 1 porta RJ 45, 10/100/1000. Compatível com computadores de perfil alto e baixo.</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182,61</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59.348,25</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21</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150345</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w:t>
            </w:r>
            <w:r>
              <w:rPr>
                <w:sz w:val="18"/>
                <w:szCs w:val="18"/>
              </w:rPr>
              <w:t>55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PLACA DE REDE SEM FIO interface PCI 2.0, padrões IEEE 802.11n, IEEE 802.11g, Com Suporte A WPA, WPA2, PEAP, WPS, Com Leds de link e atividade, com as seguintes certificações: FCC Class B, Wi-Fio, IC, com temperatura de operação: 0° A 40°, com perfil alto e baixo, com no mínimo 1 ano de garantia.</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92,62</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32.880,10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22</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354679</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166</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FONTE DE ENERGIA PARA COMPUTADOR 750W</w:t>
              <w:br/>
              <w:t>Especificações:</w:t>
              <w:br/>
              <w:t>- Compatível com o padrão Intel ATX 12V e V 2.31</w:t>
              <w:br/>
              <w:t>- Trilho único de +12V para as mais exigentes configurações SLI</w:t>
              <w:br/>
              <w:t>- Operação ultra-silenciosa com controle de velocidade da Fan de 120mm</w:t>
              <w:br/>
              <w:t>- Capacidade de saída: 750W</w:t>
              <w:br/>
              <w:t>-- Voltagem de entrada: 90-264Vac (Automático)</w:t>
              <w:br/>
              <w:t>- Corrente de entrada: 10A@115Vac, 6A@230Vac</w:t>
              <w:br/>
              <w:t>- Faixa de frequencia: 47-63Hz</w:t>
              <w:br/>
              <w:t>- PFC Active PFC (&gt;0.9)</w:t>
              <w:br/>
              <w:t>- Power Good Signal: 100~500ms</w:t>
              <w:br/>
              <w:t>- Hold Up Time: 17ms</w:t>
              <w:br/>
              <w:t>- Temperatura de operação: 0~40°C (Nominal Input Voltage)</w:t>
              <w:br/>
              <w:t>- Regulamentação TUV / CE / UL / FCC / BSMI / GOST / C-tick / CCC / KCC</w:t>
              <w:br/>
              <w:t>- Dimensões aproximadas da fonte (A x L x P): 8,6 x 15,0 x 14,0cm</w:t>
              <w:br/>
              <w:t>Conectores:</w:t>
              <w:br/>
              <w:t>- 20+4 Pin MB x 1</w:t>
              <w:br/>
              <w:t>-4+4 Pin CPU 12V x 1</w:t>
              <w:br/>
              <w:t>-6+2 Pin PCI x 2</w:t>
              <w:br/>
              <w:t>-SATA x 9</w:t>
              <w:br/>
              <w:t>-4 Pin Peripherial x 3</w:t>
              <w:br/>
              <w:t>-4 Pin Floppy x 1</w:t>
              <w:br/>
              <w:t>Garantia</w:t>
              <w:br/>
              <w:t>12 meses de garantia</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550,53</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91.387,98</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23</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p>
            <w:pPr>
              <w:pStyle w:val="style0"/>
              <w:jc w:val="center"/>
              <w:rPr>
                <w:sz w:val="18"/>
                <w:szCs w:val="18"/>
              </w:rPr>
            </w:pPr>
            <w:r>
              <w:rPr>
                <w:sz w:val="18"/>
                <w:szCs w:val="18"/>
              </w:rPr>
              <w:t>343982</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440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FONTE DE ENERGIA PARA COMPUTADOR FONTE ATX Especificações técnicas mínimas: Fonte de alimentação tipo ATX para corrente alternada com tensões de entrada de 100 a 240 VAC (+/-10%), 50-60Hz, com ajuste automático, potência real de 400W ou superior e que implemente PFC (Power Factor Correction) ativo com eficiência igual ou superior a 82% (PFC 80+); O modelo de fonte fornecido deve estar cadastrado no site www.80plus.com na categoria Bronze ou superior. Poderão ser fornecidos atestados ou certidões que comprovem que o equipamento é aderente ao padrão de eficiência energética, emitido por instituto credenciado junto ao INMETRO. Possuir baixo nível de ruído conforme NBR 10152 ou ISO 7779 ou equivalente.</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p>
            <w:pPr>
              <w:pStyle w:val="style0"/>
              <w:jc w:val="center"/>
              <w:rPr>
                <w:sz w:val="18"/>
                <w:szCs w:val="18"/>
              </w:rPr>
            </w:pPr>
            <w:r>
              <w:rPr>
                <w:sz w:val="18"/>
                <w:szCs w:val="18"/>
              </w:rPr>
              <w:t>263,40</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115.896,00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24</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48</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Unidade gravadora e leitora de CD e DVD SATA</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99,27</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4.764,96</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25</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372534</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432</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DISCO RÍGIDO 500GB, 7200 RPM. SATA. Interface Serial ATA 2 (3Gbps). Com sistema Smart</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300,55</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129.837,60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26</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247</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HD INTERNO para computadores Desktop com capacidade mínima de 1TB, Interface Serial ATA 6.0 Gbps, Buffer de 64 MB, velocidade de rotação de 7200.14 RPM.  Garantia mínima 12 meses.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350,40</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86.548,80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27</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HD INTERNO para computadores Desktop com capacidade mínima de 2TB, Interface Serial ATA 6.0 Gbps, Buffer de 64 MB, velocidade de rotação de 7200.14 RPM.  Garantia mínima 12 meses.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719,08</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64.717,20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28</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379402</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200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HD EXTERNO 2TB, com embalagem de alta durabilidade. USB 3.0. Para entrega, a embalagem deve conter, pelo menos, o hd dentro do estojo, cabo usb 3.0, manual do usuário em inglês ou português (Não será aceito manual em outro idioma)</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539,88</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107.976,00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29</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HD SAS 2.5 com Gaveta, compatível com Servidor PowerEdge 2950 com capacidade de  146GB.  Garantia mínima 12 meses.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900,39</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8.103,51</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30</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87</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HD SSD: RoHS; Interface SATA 6Gb/s; 240 GB de capacidade; Memória NAND Flash TLC; Controladora Samsung MGX; Modelo de 2,5”; 256MB (LPDDR2) de memória cache; Software para gerenciamento incluso; Suporta as tecnologias Garbage Collection, TRIM e S.M.A.R.T.; Modelo de 7mm: compatível também com notebooks ultra finos; Suporta criptografia completa com AES de 256bits (baseado em hardware) do disco (FDE) e PSID e TCG Opal 2.0 / IEEE 1667; Dimensão 2,76 x 0,27 x 3,94 em; 12 meses de garantia.</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562,81</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48.964,47</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31</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150779</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270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 xml:space="preserve">CABO ADAPTADOR DE ENERGIA SATA: 4 pinos Sata-10cm. </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25,83</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6.974,10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32</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345076</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273</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PASTA TÉRMICA em seringa, Com Base Em Prata, Contendo 5 Gramas, E Cartão Aplicador. Com Condutividade Térmica De 9,24w/M.°C E Temperatura De Operação De 0° ~ 200°C.</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49,33</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13.467,09</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33</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355902</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1750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 xml:space="preserve">MOUSE ÓPTICO USB: Preto Características cor preta, interface USB ergonomia para destros e canhotos, scrool vertical, sensor óptico, resolução mínima 800DPI, botões 2+1 do Scrool, comprimento mínimo do cabo 1,50m, garantia 12 meses. </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54,59</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95.532,50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34</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340889</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1000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MOUSE PAD, material filme termoplástico especial, comprimento 220, largura 180, características adicionais dispositivo antiderrapante, aplicação mouse óptico</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38,74</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38.740,00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35</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150980</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1255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TECLADO MULTIFUNCIONAL USB Especificações técnicas mínimas: Conexão: USB, Layout: ABNT 2 (português), Teclas: 107 + 18 multimídia, Cor: Preto, Plug and Play, Material: Plástico de alta resistência, Cabo com: 1,45m, Compatível: Windows e Linux, Garantia: 12 meses.</w:t>
              <w:br/>
              <w:t xml:space="preserve">Modelo de referência: Teclado Leadership 4536, Leadership 4631, Multilaser TC150, </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50,34</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63.176,70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36</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289</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PULSEIRA ANTI-ESTÁTICA com cabo para aterramento, Cordão de aterramento espiralado maior que 1m, Bracelete siliconado ajustável, com Resistor de 1MΩ</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43,41</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12.545,49</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37</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390335</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315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CABO HDMI de 1,5 até 2 metros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39,77</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12.527,55</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38</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434635</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230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CABO HDMI de 10 metros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92,66</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21.311,80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39</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170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b w:val="false"/>
                <w:bCs w:val="false"/>
                <w:sz w:val="18"/>
                <w:szCs w:val="18"/>
              </w:rPr>
            </w:pPr>
            <w:r>
              <w:rPr>
                <w:b w:val="false"/>
                <w:bCs w:val="false"/>
                <w:sz w:val="18"/>
                <w:szCs w:val="18"/>
              </w:rPr>
              <w:t>CABO VGA de 1,8 até 2 metros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31,36</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5.331,20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40</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134</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EXTENSÃO CABO VGA 15 metros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70,71</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9.475,14</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41</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108600</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79</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b w:val="false"/>
                <w:bCs w:val="false"/>
                <w:sz w:val="18"/>
                <w:szCs w:val="18"/>
              </w:rPr>
            </w:pPr>
            <w:r>
              <w:rPr>
                <w:b w:val="false"/>
                <w:bCs w:val="false"/>
                <w:sz w:val="18"/>
                <w:szCs w:val="18"/>
              </w:rPr>
              <w:t>CONVERSOR USB P/ SERIAL RS232</w:t>
              <w:br/>
              <w:t>DB-9 macho; USB macho; Deve vir acompanhado com o cabo DB9 macho e com cabo USB macho.</w:t>
              <w:br/>
              <w:t>Tratamento Diferenciado: Tipo I - Participação Exclusiva de ME/EPP</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118,30</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9.345,70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42</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175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Cabo P2 para RCA Macho de 1,5 M a 2,5 M. Deve possuir um conector P2 estéreo e na outra o sinal se divide em 2 conectores do tipo RCA macho.</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41,75</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7.306,25</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43</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 xml:space="preserve">Cabo P2 para P10 3M </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38,85</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2.331,00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44</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419177</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460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Porta-crachá – especificações mínimas: dimensões mínimas: 9cm x 6cm para crachá com dimensões 5,5cm x 8,5cm, com suporte de presilha na vertical, cor transparente.</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36,76</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16.909,60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45</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286614</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 xml:space="preserve">DVD–R: Mídia-DVD-R gravável, 4,7 GB, 120 min 8x, pino com 50 unidades. </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107,26</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3.754,10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46</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344236</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491</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APRESENTADOR MULTIMÍDIA Transmissão Wireless. Alcance mínimo de quinze metros. Ponteiro a laser vermelho. Receptor sem fio plug-and-play. Porta USB. Não há software para instalar. Alimentação 2 pilhas AAA. Indicador do nível de energia das pilhas. Garantia de 3 anos do fabricante. Compatível com Windows e Linux. Aprovado pelo INMETRO. Modelo de referência: LOGITECH Wireless Presenter R400, ou similar com as mesmas características. Pedido minimo (05)</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271,43</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133.272,13</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47</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600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FONE DE OUVIDO fechado, almofadado para isolamento acústico. Frequência: 18 hz- 20 khz. Potência: 200mw. Impedância: 32 ohms. Cabo longo de 2,5 metros. Pressão Sonora: 113 db. Plug reto P2 de 3,2 mm (Modelo de Referência: AKG K44 Perception).</w:t>
              <w:br/>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229,88</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137.928,00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48</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1185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 xml:space="preserve">FONES DE OUVIDO BIAURICULAR TIPO HEADSET: Microfone tipo unidirecional em um único lado com suporte flexível; Arco (tiara) ajustável; Fones almofadados; Conexão com a placa de som; Cabo com extensão mínima de 1,8m metros; Conexão USB (plug and play) ou plug estéreo de 3,5mm; Controle de volume; </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194,67</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230.068,99</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49</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33</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LEITOR DE CARTÃO DE MEMÓRIA CompactFlash compativel com usb 3.0/2.0 compatível com windows 7/10 e Linux Ubuntu (15.10 ou superior)</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42,20</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1.392,60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50</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150870</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72</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DOCK STATIONEspecificações:</w:t>
              <w:br/>
              <w:t>- LED Indicador</w:t>
              <w:br/>
              <w:t>- HDs suportados: 3(3xSata)</w:t>
              <w:br/>
              <w:t>- Compatível com: Discos 2.5' e 3.5' SATA I, II e III</w:t>
              <w:br/>
              <w:t>- Tamanho suportado: Até 2.0 TB</w:t>
              <w:br/>
              <w:t>- Conexão com PC Via USB</w:t>
              <w:br/>
              <w:t>- Tipo de conexão: Sata SATA 3 Gbit/s (SATA II)</w:t>
              <w:br/>
              <w:t>- Taxa de transferência USB 2.0: 480 Mbit/s</w:t>
              <w:br/>
              <w:t>- Deve ser entregue com adaptador de tensão bivolt (fonte de alimentaçao)</w:t>
              <w:br/>
              <w:t>- Temperatura de operação: 5° C to 80° C (41° F to 176° F)</w:t>
              <w:br/>
              <w:t>- Deve seguir padrão RoHS (Restriction of Certain Hazardous Substances, Restrição de Certas Substâncias Perigosas)</w:t>
              <w:br/>
              <w:t>- Compatibilidade: Windows e Linux</w:t>
              <w:br/>
              <w:t>Para entrega, a embalagem deve conter, pelo menos:</w:t>
              <w:br/>
              <w:t>- 01 Dock Station</w:t>
              <w:br/>
              <w:t>- 01 Fonte de energia bivolt 220/110V</w:t>
              <w:br/>
              <w:t>- 01 Cabo USB2.0</w:t>
              <w:br/>
              <w:t>- 01 Cabo de energia</w:t>
              <w:br/>
              <w:t>- 01 Mini CD com drivers e softwares necessários para seu funcionamento.</w:t>
              <w:br/>
              <w:t>- 01 Manual de usuário em inglês ou português (não será aceito manual em outro idioma).</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p>
            <w:pPr>
              <w:pStyle w:val="style0"/>
              <w:jc w:val="center"/>
              <w:rPr>
                <w:sz w:val="18"/>
                <w:szCs w:val="18"/>
              </w:rPr>
            </w:pPr>
            <w:r>
              <w:rPr>
                <w:sz w:val="18"/>
                <w:szCs w:val="18"/>
              </w:rPr>
              <w:t>227,95</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16.412,40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51</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320528</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HUB USB Contendo 04 Portas no mínimo, Compatível Com Usb Versão 2.0 E 1.1, Plug And Play, Com Cabo, Sem Fonte De Alimentação Externa (Alimentação Via Própria Usb), Compatível Com Sistemas Operacionais: Windows e Linux</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42,82</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2.141,00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52</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56</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 xml:space="preserve">LEITOR DE CÓDIGO DE BARRAS Laser Wireless. Deve possuir sistema de leitura a laser e iluminação de no mínimo 630nm, base carregador. Deve efetuar a leitura dos seguintes códigos: 39, EAN-13, EAN-8, UPC, Intercalado 2 de 5 e Código 128.   </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191,39</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10.717,84</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53</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151037</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2430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ORGANIZADOR PARA CABOS e fios 3/4" preto. Espiral. 3 metros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34,32</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83.397,60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54</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278986</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560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FITA DUPLA FACE - Fita dupla face 12mmX3m.</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36,60</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20.496,00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55</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CABO DE FORÇA IEC - extensão lado FÊMEA 1,5m</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106,26</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5.313,00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56</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CABO DE FORÇA IEC - extensão lado FÊMEA 3,0m</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78,02</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3.901,00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57</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397920</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385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CABO DE FORÇA para computador  90 Graus 3 Pinos 3 M Preto  Tensão mínima suportada: 6A 220v Novo padrão brasileiro NBR 14136;</w:t>
              <w:br/>
              <w:t>Pedido mínimo: 10 unidades.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30,07</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11.576,95</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58</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41920</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CABO DE FORÇA para Notebook 3 Pinos 1,5 Metros DESCRIÇÃO:</w:t>
              <w:br/>
              <w:t>- Cabo de força energia para fonte notebook</w:t>
              <w:br/>
              <w:t>- Cabo de força com 3 pinos para fonte de notebook, netbook e eletrônicos em geral que utilizem o mesmo padrão;</w:t>
              <w:br/>
              <w:t>- Saida Tipo mickey.</w:t>
              <w:br/>
              <w:t>- Ideal para fontes / carregadores de notebooks ou equipamentos eletrônicos de mesmo padrão de encaixe;</w:t>
              <w:br/>
              <w:t>- Possui o comprimento de 1,5 metro proporcionando melhor alcance e comodidade para recarga;</w:t>
              <w:br/>
              <w:t>- Novo padrão brasileiro NBR 14136;</w:t>
              <w:br/>
              <w:t>- Máxima tensão suportada: 6A / 220V AC</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22,72</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1.476,80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59</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391384</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660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CABO DE ENERGIA para computador CABO ELÉTRICO FLEXÍVEL, TENSÃO ISOLAMENTO 750, COMPRIMENTO 2, CARACTERÍSTICAS ADICIONAIS CONECTOR TRIPOLAR MACHO E CONECTOR FÊMEA IEC C14, NORMAS TÉCNICAS NBR 14136, MATERIAL DO CONDUTOR COBRE</w:t>
              <w:br/>
              <w:t>Pedido mínimo: 10 unidades.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23,28</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15.364,80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60</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18</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CARREGADOR DE PILHAS para padrão AA e AAA, Bivolt (110v ou 220v), com suporte a quadro pilhas simultâneas.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135,99</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2.447,20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61</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237006</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441</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BATERIA 9v. Embalagem com apenas 1 unidade. Não recarregável. Tratamento Diferenciado: Tipo I - Participação Exclusiva de ME/EPP</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78,84</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34.768,44</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62</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1580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BATERIA de Litium, 3v CR 2032, para alimentação de BIOS Tratamento Diferenciado: Tipo I - Participação Exclusiva de ME/EPP</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14,08</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22.246,40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63</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231785</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1100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BATERIA palito AAA. 1,5v. Não recarregável. Embalagem com duas pilhas. Tratamento Diferenciado: Tipo I - Participação Exclusiva de ME/EPP</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22,17</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24.387,00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64</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841</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BATERIA  para Nobreak SMS Manager Net4+ (Bateria modelo GP 1272F2 12 V/7.2Ah)</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109,85</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92.383,85</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65</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BATERIA para Nobreak SMS progressive III (UP 1270E 12V/7Ah)</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92,84</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1.392,60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66</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BATERIA para Nobreak Enermax Power II (Bateria modelo UP1270e 12V/7Ah )</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92,84</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5.570,40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67</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208</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BATERIA VRLA 12VDC 7Ah compativel com UPS Phd HP960C</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92,84</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19.310,72</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68</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192</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 xml:space="preserve">BATERIA para Nobreak selada 12V 18A compativel com nobreak SMS </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305,34</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58.625,28</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69</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564</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BATERIA para Nobreak SMS Net Station  (Bateria modelo ACBA 121600 12V/5.4Ah )</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154,36</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87.059,04</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70</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24</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BATERIA para Nobreak SMS net Winner (Bateria modelo HR 1221W F2 12V/21W Cell /1.67V/15Min )</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119,58</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2.869,92</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71</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BENJAMIN com 3 saídas novo padrão brasileiro sendo corrente 20 A e  2 polos + pino terra. Tensão: 250 Volts.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29,29</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3.514,80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72</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407480</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362</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EXTENSÃO ELÉTRICA com cabo PP circular com dupla isolação 2x2,50 mm com carretel e comprimento 10 metros</w:t>
              <w:br/>
              <w:t>Tratamento Diferenciado: Tipo I - Participação Exclusiva de ME/EPP</w:t>
              <w:br/>
              <w:t>Aplicabilidade Decreto 7174: Não</w:t>
              <w:br/>
              <w:t>Aplicabilidade Margem de Preferência: Não</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249,47</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90.308,14</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73</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421088</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780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FILTRO DE LINHA, tensão alimentação 110/220, quantidade saída 6 tomadas padrão NBR14136, características adicionais seleçao automática de voltagem, aplicação proteção contra surtos rede energia e telefonia, frequência 60, normas técnicas novo padrão nbr 14136:2002, tratamento superficial pintura eletrostática a pó, componentes display contator surto elétrico; fusível térmico P.</w:t>
            </w:r>
          </w:p>
          <w:p>
            <w:pPr>
              <w:pStyle w:val="style0"/>
              <w:jc w:val="left"/>
              <w:rPr>
                <w:sz w:val="18"/>
                <w:szCs w:val="18"/>
              </w:rPr>
            </w:pPr>
            <w:r>
              <w:rPr>
                <w:sz w:val="18"/>
                <w:szCs w:val="18"/>
              </w:rPr>
              <w:t>Garantia de um ano.</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50,77</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39.600,60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74</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124</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2430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FUSIVEL 10amperes. De vidro. 250v. 5X20mm.</w:t>
              <w:br/>
              <w:t>Pedido mínimo 10.</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17,43</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42.354,90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75</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124</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1250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FUSIVEL 15amperes. De vidro. 250v. 6X30mm.</w:t>
              <w:br/>
              <w:t>Pedido mínimo 10.</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22,08</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27.600,00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76</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124</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1630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FUSIVEL 5amperes. De vidro. 250v. 5X20mm.</w:t>
              <w:br/>
              <w:t>Pedido mínimo 10.</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17,64</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28.753,20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77</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124</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2430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FUSIVEL 7amperes. De vidro. 250v. 5X20mm.</w:t>
              <w:br/>
              <w:t>Pedido mínimo 10.</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9,88</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24.008,40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78</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121</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PLACA DE VIDEO interface de conexão e tamanho compatível com perfil alto e baixo;</w:t>
              <w:br/>
              <w:t>Controladora gráfica mínima com 2GB de memória  DDR3 ou superior, sendo esta memória dedicada ao vídeo, não podendo ser compartilhada à memória do computador, bem como o</w:t>
              <w:br/>
              <w:t xml:space="preserve">processador; 128 bits por pixel ou superior, suporte ao padrão plug-and-play, DirectX-11 e OpenGL;  </w:t>
              <w:br/>
              <w:t>Deve permitir ligar dois monitores simultaneamente através de uma conexão VGA ou DVI-D ou interface DP ou HDMI com resolução 1920x1080 pixels ou superior;</w:t>
              <w:br/>
              <w:t>Compatível com fonte de alimentação de até 300W.</w:t>
              <w:br/>
              <w:t xml:space="preserve">Com drivers para sistema operacional Windows 8 (64 bits) e Linux kernel 2.6 ou superior;  </w:t>
              <w:br/>
              <w:t>Deve vir com CD de instalação da  placa com todos os drivers necessários para o completo funcionamento.</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294,16</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35.593,36</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79</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150400</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PLACA DE VÍDEO PCI-E 2GB DDR3 de alta performance, suporte a OpenGL, compatível com perfil alto e baixo.</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294,16</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13.237,20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80</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27</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PLACA DE VÍDEO PCI-E 4GB 256 bits GDDR5 de alta performance</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1.697,50</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45.832,50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81</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115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HEADSET com conexão P2 3.5 mm, Controle de volume, fone almofadado, alças ajustáveis, Potência de 800mW a 1200 mW, Comprimento do cabo de 1,5 a 2 Metros.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199,55</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22.948,25</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82</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700</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bookmarkStart w:id="1" w:name="__DdeLink__2520_872232925"/>
            <w:bookmarkEnd w:id="1"/>
            <w:r>
              <w:rPr>
                <w:sz w:val="18"/>
                <w:szCs w:val="18"/>
              </w:rPr>
              <w:t>FITA DE VELCRO, Dupla Face, Slim, Nas Medidas 15mm X 3m de comprimento. Ambas As Faces Da Fita [Frente E Verso] Devem Ser Únicas, [Sem Costura], Não Podendo As Faces Serem Separadas.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34,06</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23.842,00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83</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41580</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Fonte PoE</w:t>
              <w:br/>
              <w:t>Voltagem de Saída – 12VDC/1AVoltagem de Entrada-100-240VAC/50-60Hz</w:t>
              <w:br/>
              <w:t>Para utilização com Proeletronic Cpe Wireless Station 5.8ghz</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56,54</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3.109,70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84</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41580</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Fonte PoE</w:t>
              <w:br/>
              <w:t>Voltagem de Saída – 15VDC/0.8A Voltagem de Entrada-100-240VAC/0.3A/50-60Hz</w:t>
              <w:br/>
              <w:t>Para utilização com Nannostation5 LW-NS5 5GHz Ubiquiti</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71,48</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6.075,80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85</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41580</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99</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Fonte Poe</w:t>
              <w:br/>
              <w:t>Voltagem de Saída – 24VDC/0.5A Voltagem de Entrada-100-240VAC/50-60Hz</w:t>
              <w:br/>
              <w:t>Para utilização com Unifi AP LR Ubiquiti</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73,55</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7.281,45</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86</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41580</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94</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Fonte PoE</w:t>
              <w:br/>
              <w:t>Voltagem de Saída – 48VDC/0.5A Voltagem de Entrada-90-260VAC/47-63Hz</w:t>
              <w:br/>
              <w:t xml:space="preserve">Corrente de Entrada-0.3A 120VAC/0.2A 230VAC </w:t>
              <w:br/>
              <w:t>Pico de Corrente - &lt;15A 120VAC / &lt;30A 230VAC</w:t>
              <w:br/>
              <w:t>Para utilização com Unifi AP OUTDOOR+ Ubiquiti</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95,74</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8.999,56</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87</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p>
            <w:pPr>
              <w:pStyle w:val="style0"/>
              <w:jc w:val="center"/>
              <w:rPr>
                <w:sz w:val="18"/>
                <w:szCs w:val="18"/>
              </w:rPr>
            </w:pPr>
            <w:r>
              <w:rPr>
                <w:sz w:val="18"/>
                <w:szCs w:val="18"/>
              </w:rPr>
            </w:r>
          </w:p>
          <w:p>
            <w:pPr>
              <w:pStyle w:val="style0"/>
              <w:jc w:val="center"/>
              <w:rPr>
                <w:sz w:val="18"/>
                <w:szCs w:val="18"/>
              </w:rPr>
            </w:pPr>
            <w:r>
              <w:rPr>
                <w:sz w:val="18"/>
                <w:szCs w:val="18"/>
              </w:rPr>
              <w:t>41580</w:t>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172</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FONTE UNIVERSAL PARA NOTEBOOK</w:t>
              <w:br/>
              <w:t>Descrição do Produto</w:t>
              <w:br/>
              <w:t>- Fonte universal automática para notebook</w:t>
              <w:br/>
              <w:t>- Compatível com diversos modelos das marcas:</w:t>
              <w:br/>
              <w:t>- Toshiba, IBM, Lenovo, Sony, Compaq, HP, Acer.</w:t>
              <w:br/>
              <w:t xml:space="preserve">- Samsung, DELL, entre outros. </w:t>
              <w:br/>
              <w:t>- Potência: 90W (mínimo)</w:t>
              <w:br/>
              <w:t>- Bivolt</w:t>
              <w:br/>
              <w:t>- Plug no novo Padrão Brasileiro (três pinos)</w:t>
              <w:br/>
              <w:t>- Voltagem de Entrada: BIVOLT (100VAC-240VAC 50-60HZ)</w:t>
              <w:br/>
              <w:t>- Saída DC: 15/16/18.5/19/19.5/20/24V</w:t>
              <w:br/>
              <w:t>- Entrada USB: 5V 1A/5V 2</w:t>
              <w:br/>
              <w:t>- 10 Pontas Adaptadoras</w:t>
              <w:br/>
              <w:t>- Proteção contra sobrecarga</w:t>
              <w:br/>
              <w:t>- Proteção contra Curto Circuito</w:t>
              <w:br/>
              <w:t>- Com cabo de Força</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p>
            <w:pPr>
              <w:pStyle w:val="style0"/>
              <w:jc w:val="center"/>
              <w:rPr>
                <w:sz w:val="18"/>
                <w:szCs w:val="18"/>
              </w:rPr>
            </w:pPr>
            <w:r>
              <w:rPr>
                <w:sz w:val="18"/>
                <w:szCs w:val="18"/>
              </w:rPr>
            </w:r>
          </w:p>
          <w:p>
            <w:pPr>
              <w:pStyle w:val="style0"/>
              <w:jc w:val="center"/>
              <w:rPr>
                <w:sz w:val="18"/>
                <w:szCs w:val="18"/>
              </w:rPr>
            </w:pPr>
            <w:r>
              <w:rPr>
                <w:sz w:val="18"/>
                <w:szCs w:val="18"/>
              </w:rPr>
              <w:t>140,28</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pPr>
            <w:r>
              <w:rPr/>
            </w:r>
          </w:p>
          <w:p>
            <w:pPr>
              <w:pStyle w:val="style0"/>
              <w:jc w:val="center"/>
              <w:rPr>
                <w:sz w:val="18"/>
                <w:szCs w:val="18"/>
              </w:rPr>
            </w:pPr>
            <w:r>
              <w:rPr>
                <w:sz w:val="18"/>
                <w:szCs w:val="18"/>
              </w:rPr>
              <w:t>24.128,16</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r>
          </w:p>
        </w:tc>
      </w:tr>
      <w:tr>
        <w:trPr>
          <w:cantSplit w:val="false"/>
        </w:trPr>
        <w:tc>
          <w:tcPr>
            <w:tcW w:type="dxa" w:w="61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88</w:t>
            </w:r>
          </w:p>
        </w:tc>
        <w:tc>
          <w:tcPr>
            <w:tcW w:type="dxa" w:w="981"/>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r>
          </w:p>
        </w:tc>
        <w:tc>
          <w:tcPr>
            <w:tcW w:type="dxa" w:w="570"/>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Unid.</w:t>
            </w:r>
          </w:p>
        </w:tc>
        <w:tc>
          <w:tcPr>
            <w:tcW w:type="dxa" w:w="666"/>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925</w:t>
            </w:r>
          </w:p>
        </w:tc>
        <w:tc>
          <w:tcPr>
            <w:tcW w:type="dxa" w:w="3203"/>
            <w:tcBorders>
              <w:top w:val="nil"/>
              <w:left w:color="000001" w:space="0" w:sz="2" w:val="single"/>
              <w:bottom w:color="000001" w:space="0" w:sz="2" w:val="single"/>
              <w:right w:val="nil"/>
            </w:tcBorders>
            <w:shd w:fill="FFFFFF" w:val="clear"/>
            <w:tcMar>
              <w:left w:type="dxa" w:w="14"/>
            </w:tcMar>
          </w:tcPr>
          <w:p>
            <w:pPr>
              <w:pStyle w:val="style0"/>
              <w:jc w:val="left"/>
              <w:rPr>
                <w:sz w:val="18"/>
                <w:szCs w:val="18"/>
              </w:rPr>
            </w:pPr>
            <w:r>
              <w:rPr>
                <w:sz w:val="18"/>
                <w:szCs w:val="18"/>
              </w:rPr>
              <w:t>Pendrive 16 GB, interface Padrão USB 3.0 e compativel com USB 2.0. Chassi de metal. Conexão Plug and Play. Garantia mínima de 12 meses.</w:t>
            </w:r>
          </w:p>
        </w:tc>
        <w:tc>
          <w:tcPr>
            <w:tcW w:type="dxa" w:w="88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45,42</w:t>
            </w:r>
          </w:p>
        </w:tc>
        <w:tc>
          <w:tcPr>
            <w:tcW w:type="dxa" w:w="1155"/>
            <w:tcBorders>
              <w:top w:val="nil"/>
              <w:left w:color="000001" w:space="0" w:sz="2" w:val="single"/>
              <w:bottom w:color="000001" w:space="0" w:sz="2" w:val="single"/>
              <w:right w:val="nil"/>
            </w:tcBorders>
            <w:shd w:fill="FFFFFF" w:val="clear"/>
            <w:tcMar>
              <w:left w:type="dxa" w:w="14"/>
            </w:tcMar>
            <w:vAlign w:val="center"/>
          </w:tcPr>
          <w:p>
            <w:pPr>
              <w:pStyle w:val="style0"/>
              <w:jc w:val="center"/>
              <w:rPr>
                <w:sz w:val="18"/>
                <w:szCs w:val="18"/>
              </w:rPr>
            </w:pPr>
            <w:r>
              <w:rPr>
                <w:sz w:val="18"/>
                <w:szCs w:val="18"/>
              </w:rPr>
              <w:t>42.013,50</w:t>
            </w:r>
          </w:p>
        </w:tc>
        <w:tc>
          <w:tcPr>
            <w:tcW w:type="dxa" w:w="1031"/>
            <w:tcBorders>
              <w:top w:val="nil"/>
              <w:left w:color="000001" w:space="0" w:sz="2" w:val="single"/>
              <w:bottom w:color="000001" w:space="0" w:sz="2" w:val="single"/>
              <w:right w:color="000001" w:space="0" w:sz="2" w:val="single"/>
            </w:tcBorders>
            <w:shd w:fill="FFFFFF" w:val="clear"/>
            <w:tcMar>
              <w:left w:type="dxa" w:w="14"/>
            </w:tcMar>
            <w:vAlign w:val="center"/>
          </w:tcPr>
          <w:p>
            <w:pPr>
              <w:pStyle w:val="style0"/>
              <w:jc w:val="center"/>
              <w:rPr>
                <w:sz w:val="18"/>
                <w:szCs w:val="18"/>
              </w:rPr>
            </w:pPr>
            <w:r>
              <w:rPr>
                <w:sz w:val="18"/>
                <w:szCs w:val="18"/>
              </w:rPr>
              <w:t>Decreto nº 8.184/14 10%</w:t>
            </w:r>
          </w:p>
        </w:tc>
      </w:tr>
    </w:tbl>
    <w:p>
      <w:pPr>
        <w:pStyle w:val="style0"/>
        <w:rPr/>
      </w:pPr>
      <w:r>
        <w:rPr/>
      </w:r>
    </w:p>
    <w:p>
      <w:pPr>
        <w:pStyle w:val="style0"/>
        <w:spacing w:after="120" w:before="0" w:line="276" w:lineRule="auto"/>
        <w:contextualSpacing w:val="false"/>
        <w:jc w:val="both"/>
        <w:rPr>
          <w:rFonts w:ascii="Calibri" w:cs="Arial" w:hAnsi="Calibri"/>
          <w:i/>
          <w:color w:val="000000"/>
          <w:sz w:val="22"/>
          <w:szCs w:val="22"/>
        </w:rPr>
      </w:pPr>
      <w:r>
        <w:rPr>
          <w:rFonts w:ascii="Calibri" w:cs="Arial" w:hAnsi="Calibri"/>
          <w:i/>
          <w:color w:val="000000"/>
          <w:sz w:val="22"/>
          <w:szCs w:val="22"/>
        </w:rPr>
        <w:t>1.2 Estimativas de consumo individualizadas, do órgão gerenciador e órgão(s) e entidade(s) participante(s) conforme tabela anexo IV.</w:t>
      </w:r>
    </w:p>
    <w:p>
      <w:pPr>
        <w:pStyle w:val="style0"/>
        <w:numPr>
          <w:ilvl w:val="0"/>
          <w:numId w:val="1"/>
        </w:numPr>
        <w:spacing w:after="120" w:before="0" w:line="276" w:lineRule="auto"/>
        <w:contextualSpacing w:val="false"/>
        <w:jc w:val="both"/>
        <w:rPr>
          <w:rFonts w:ascii="Calibri" w:cs="Arial" w:hAnsi="Calibri"/>
          <w:b/>
          <w:color w:val="000000"/>
          <w:sz w:val="22"/>
          <w:szCs w:val="22"/>
        </w:rPr>
      </w:pPr>
      <w:r>
        <w:rPr>
          <w:rFonts w:ascii="Calibri" w:cs="Arial" w:hAnsi="Calibri"/>
          <w:b/>
          <w:color w:val="000000"/>
          <w:sz w:val="22"/>
          <w:szCs w:val="22"/>
        </w:rPr>
        <w:t>JUSTIFICATIVA E OBJETIVO DA CONTRATAÇÃO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 xml:space="preserve">A aquisição dos referidos produtos por meio de Registro de Preços, Objetivando o atendimento das demandas advindas do IFMT - Campi: Alta Floresta - </w:t>
      </w:r>
      <w:r>
        <w:rPr>
          <w:rFonts w:ascii="Calibri" w:cs="Arial" w:hAnsi="Calibri"/>
          <w:b/>
          <w:bCs/>
          <w:color w:val="000000"/>
          <w:sz w:val="22"/>
          <w:szCs w:val="22"/>
          <w:shd w:fill="FFFFFF" w:val="clear"/>
        </w:rPr>
        <w:t>ALF</w:t>
      </w:r>
      <w:r>
        <w:rPr>
          <w:rFonts w:ascii="Calibri" w:cs="Arial" w:hAnsi="Calibri"/>
          <w:color w:val="000000"/>
          <w:sz w:val="22"/>
          <w:szCs w:val="22"/>
          <w:shd w:fill="FFFFFF" w:val="clear"/>
        </w:rPr>
        <w:t xml:space="preserve">, Barra do Garças - </w:t>
      </w:r>
      <w:r>
        <w:rPr>
          <w:rFonts w:ascii="Calibri" w:cs="Arial" w:hAnsi="Calibri"/>
          <w:b/>
          <w:bCs/>
          <w:color w:val="000000"/>
          <w:sz w:val="22"/>
          <w:szCs w:val="22"/>
          <w:shd w:fill="FFFFFF" w:val="clear"/>
        </w:rPr>
        <w:t>BAG</w:t>
      </w:r>
      <w:r>
        <w:rPr>
          <w:rFonts w:ascii="Calibri" w:cs="Arial" w:hAnsi="Calibri"/>
          <w:color w:val="000000"/>
          <w:sz w:val="22"/>
          <w:szCs w:val="22"/>
          <w:shd w:fill="FFFFFF" w:val="clear"/>
        </w:rPr>
        <w:t xml:space="preserve">, Cáceres - </w:t>
      </w:r>
      <w:r>
        <w:rPr>
          <w:rFonts w:ascii="Calibri" w:cs="Arial" w:hAnsi="Calibri"/>
          <w:b/>
          <w:bCs/>
          <w:color w:val="000000"/>
          <w:sz w:val="22"/>
          <w:szCs w:val="22"/>
          <w:shd w:fill="FFFFFF" w:val="clear"/>
        </w:rPr>
        <w:t>CAS</w:t>
      </w:r>
      <w:r>
        <w:rPr>
          <w:rFonts w:ascii="Calibri" w:cs="Arial" w:hAnsi="Calibri"/>
          <w:color w:val="000000"/>
          <w:sz w:val="22"/>
          <w:szCs w:val="22"/>
          <w:shd w:fill="FFFFFF" w:val="clear"/>
        </w:rPr>
        <w:t xml:space="preserve">, Cuiabá  - </w:t>
      </w:r>
      <w:r>
        <w:rPr>
          <w:rFonts w:ascii="Calibri" w:cs="Arial" w:hAnsi="Calibri"/>
          <w:b/>
          <w:bCs/>
          <w:color w:val="000000"/>
          <w:sz w:val="22"/>
          <w:szCs w:val="22"/>
          <w:shd w:fill="FFFFFF" w:val="clear"/>
        </w:rPr>
        <w:t>CBA</w:t>
      </w:r>
      <w:r>
        <w:rPr>
          <w:rFonts w:ascii="Calibri" w:cs="Arial" w:hAnsi="Calibri"/>
          <w:color w:val="000000"/>
          <w:sz w:val="22"/>
          <w:szCs w:val="22"/>
          <w:shd w:fill="FFFFFF" w:val="clear"/>
        </w:rPr>
        <w:t>, Confresa -</w:t>
      </w:r>
      <w:r>
        <w:rPr>
          <w:rFonts w:ascii="Calibri" w:cs="Arial" w:hAnsi="Calibri"/>
          <w:b/>
          <w:bCs/>
          <w:color w:val="000000"/>
          <w:sz w:val="22"/>
          <w:szCs w:val="22"/>
          <w:shd w:fill="FFFFFF" w:val="clear"/>
        </w:rPr>
        <w:t xml:space="preserve"> CFS</w:t>
      </w:r>
      <w:r>
        <w:rPr>
          <w:rFonts w:ascii="Calibri" w:cs="Arial" w:hAnsi="Calibri"/>
          <w:color w:val="000000"/>
          <w:sz w:val="22"/>
          <w:szCs w:val="22"/>
          <w:shd w:fill="FFFFFF" w:val="clear"/>
        </w:rPr>
        <w:t xml:space="preserve">, Campo Novo do Parecis - </w:t>
      </w:r>
      <w:r>
        <w:rPr>
          <w:rFonts w:ascii="Calibri" w:cs="Arial" w:hAnsi="Calibri"/>
          <w:b/>
          <w:bCs/>
          <w:color w:val="000000"/>
          <w:sz w:val="22"/>
          <w:szCs w:val="22"/>
          <w:shd w:fill="FFFFFF" w:val="clear"/>
        </w:rPr>
        <w:t>CNP</w:t>
      </w:r>
      <w:r>
        <w:rPr>
          <w:rFonts w:ascii="Calibri" w:cs="Arial" w:hAnsi="Calibri"/>
          <w:color w:val="000000"/>
          <w:sz w:val="22"/>
          <w:szCs w:val="22"/>
          <w:shd w:fill="FFFFFF" w:val="clear"/>
        </w:rPr>
        <w:t xml:space="preserve">, Diamantino - </w:t>
      </w:r>
      <w:r>
        <w:rPr>
          <w:rFonts w:ascii="Calibri" w:cs="Arial" w:hAnsi="Calibri"/>
          <w:b/>
          <w:bCs/>
          <w:color w:val="000000"/>
          <w:sz w:val="22"/>
          <w:szCs w:val="22"/>
          <w:shd w:fill="FFFFFF" w:val="clear"/>
        </w:rPr>
        <w:t>DMT</w:t>
      </w:r>
      <w:r>
        <w:rPr>
          <w:rFonts w:ascii="Calibri" w:cs="Arial" w:hAnsi="Calibri"/>
          <w:color w:val="000000"/>
          <w:sz w:val="22"/>
          <w:szCs w:val="22"/>
          <w:shd w:fill="FFFFFF" w:val="clear"/>
        </w:rPr>
        <w:t xml:space="preserve">, Guarantã do Norte - </w:t>
      </w:r>
      <w:r>
        <w:rPr>
          <w:rFonts w:ascii="Calibri" w:cs="Arial" w:hAnsi="Calibri"/>
          <w:b/>
          <w:bCs/>
          <w:color w:val="000000"/>
          <w:sz w:val="22"/>
          <w:szCs w:val="22"/>
          <w:shd w:fill="FFFFFF" w:val="clear"/>
        </w:rPr>
        <w:t>GTA</w:t>
      </w:r>
      <w:r>
        <w:rPr>
          <w:rFonts w:ascii="Calibri" w:cs="Arial" w:hAnsi="Calibri"/>
          <w:color w:val="000000"/>
          <w:sz w:val="22"/>
          <w:szCs w:val="22"/>
          <w:shd w:fill="FFFFFF" w:val="clear"/>
        </w:rPr>
        <w:t xml:space="preserve">, Juína - </w:t>
      </w:r>
      <w:r>
        <w:rPr>
          <w:rFonts w:ascii="Calibri" w:cs="Arial" w:hAnsi="Calibri"/>
          <w:b/>
          <w:bCs/>
          <w:color w:val="000000"/>
          <w:sz w:val="22"/>
          <w:szCs w:val="22"/>
          <w:shd w:fill="FFFFFF" w:val="clear"/>
        </w:rPr>
        <w:t>JNA</w:t>
      </w:r>
      <w:r>
        <w:rPr>
          <w:rFonts w:ascii="Calibri" w:cs="Arial" w:hAnsi="Calibri"/>
          <w:color w:val="000000"/>
          <w:sz w:val="22"/>
          <w:szCs w:val="22"/>
          <w:shd w:fill="FFFFFF" w:val="clear"/>
        </w:rPr>
        <w:t xml:space="preserve">, Lucas do Rio Verde - </w:t>
      </w:r>
      <w:r>
        <w:rPr>
          <w:rFonts w:ascii="Calibri" w:cs="Arial" w:hAnsi="Calibri"/>
          <w:b/>
          <w:bCs/>
          <w:color w:val="000000"/>
          <w:sz w:val="22"/>
          <w:szCs w:val="22"/>
          <w:shd w:fill="FFFFFF" w:val="clear"/>
        </w:rPr>
        <w:t>LRV</w:t>
      </w:r>
      <w:r>
        <w:rPr>
          <w:rFonts w:ascii="Calibri" w:cs="Arial" w:hAnsi="Calibri"/>
          <w:color w:val="000000"/>
          <w:sz w:val="22"/>
          <w:szCs w:val="22"/>
          <w:shd w:fill="FFFFFF" w:val="clear"/>
        </w:rPr>
        <w:t xml:space="preserve">, Primavera do Leste - </w:t>
      </w:r>
      <w:r>
        <w:rPr>
          <w:rFonts w:ascii="Calibri" w:cs="Arial" w:hAnsi="Calibri"/>
          <w:b/>
          <w:bCs/>
          <w:color w:val="000000"/>
          <w:sz w:val="22"/>
          <w:szCs w:val="22"/>
          <w:shd w:fill="FFFFFF" w:val="clear"/>
        </w:rPr>
        <w:t>PDL</w:t>
      </w:r>
      <w:r>
        <w:rPr>
          <w:rFonts w:ascii="Calibri" w:cs="Arial" w:hAnsi="Calibri"/>
          <w:color w:val="000000"/>
          <w:sz w:val="22"/>
          <w:szCs w:val="22"/>
          <w:shd w:fill="FFFFFF" w:val="clear"/>
        </w:rPr>
        <w:t xml:space="preserve">, Pontes e Lacerda - </w:t>
      </w:r>
      <w:r>
        <w:rPr>
          <w:rFonts w:ascii="Calibri" w:cs="Arial" w:hAnsi="Calibri"/>
          <w:b/>
          <w:bCs/>
          <w:color w:val="000000"/>
          <w:sz w:val="22"/>
          <w:szCs w:val="22"/>
          <w:shd w:fill="FFFFFF" w:val="clear"/>
        </w:rPr>
        <w:t>PLC</w:t>
      </w:r>
      <w:r>
        <w:rPr>
          <w:rFonts w:ascii="Calibri" w:cs="Arial" w:hAnsi="Calibri"/>
          <w:color w:val="000000"/>
          <w:sz w:val="22"/>
          <w:szCs w:val="22"/>
          <w:shd w:fill="FFFFFF" w:val="clear"/>
        </w:rPr>
        <w:t xml:space="preserve">, Rondonópolis - </w:t>
      </w:r>
      <w:r>
        <w:rPr>
          <w:rFonts w:ascii="Calibri" w:cs="Arial" w:hAnsi="Calibri"/>
          <w:b/>
          <w:bCs/>
          <w:color w:val="000000"/>
          <w:sz w:val="22"/>
          <w:szCs w:val="22"/>
          <w:shd w:fill="FFFFFF" w:val="clear"/>
        </w:rPr>
        <w:t>ROO</w:t>
      </w:r>
      <w:r>
        <w:rPr>
          <w:rFonts w:ascii="Calibri" w:cs="Arial" w:hAnsi="Calibri"/>
          <w:color w:val="000000"/>
          <w:sz w:val="22"/>
          <w:szCs w:val="22"/>
          <w:shd w:fill="FFFFFF" w:val="clear"/>
        </w:rPr>
        <w:t xml:space="preserve">, Reitoria - </w:t>
      </w:r>
      <w:r>
        <w:rPr>
          <w:rFonts w:ascii="Calibri" w:cs="Arial" w:hAnsi="Calibri"/>
          <w:b/>
          <w:bCs/>
          <w:color w:val="000000"/>
          <w:sz w:val="22"/>
          <w:szCs w:val="22"/>
          <w:shd w:fill="FFFFFF" w:val="clear"/>
        </w:rPr>
        <w:t>RTR</w:t>
      </w:r>
      <w:r>
        <w:rPr>
          <w:rFonts w:ascii="Calibri" w:cs="Arial" w:hAnsi="Calibri"/>
          <w:color w:val="000000"/>
          <w:sz w:val="22"/>
          <w:szCs w:val="22"/>
          <w:shd w:fill="FFFFFF" w:val="clear"/>
        </w:rPr>
        <w:t xml:space="preserve">, Sinop - </w:t>
      </w:r>
      <w:r>
        <w:rPr>
          <w:rFonts w:ascii="Calibri" w:cs="Arial" w:hAnsi="Calibri"/>
          <w:b/>
          <w:bCs/>
          <w:color w:val="000000"/>
          <w:sz w:val="22"/>
          <w:szCs w:val="22"/>
          <w:shd w:fill="FFFFFF" w:val="clear"/>
        </w:rPr>
        <w:t>SNP</w:t>
      </w:r>
      <w:r>
        <w:rPr>
          <w:rFonts w:ascii="Calibri" w:cs="Arial" w:hAnsi="Calibri"/>
          <w:color w:val="000000"/>
          <w:sz w:val="22"/>
          <w:szCs w:val="22"/>
          <w:shd w:fill="FFFFFF" w:val="clear"/>
        </w:rPr>
        <w:t xml:space="preserve">, Sorriso - </w:t>
      </w:r>
      <w:r>
        <w:rPr>
          <w:rFonts w:ascii="Calibri" w:cs="Arial" w:hAnsi="Calibri"/>
          <w:b/>
          <w:bCs/>
          <w:color w:val="000000"/>
          <w:sz w:val="22"/>
          <w:szCs w:val="22"/>
          <w:shd w:fill="FFFFFF" w:val="clear"/>
        </w:rPr>
        <w:t>SRS</w:t>
      </w:r>
      <w:r>
        <w:rPr>
          <w:rFonts w:ascii="Calibri" w:cs="Arial" w:hAnsi="Calibri"/>
          <w:color w:val="000000"/>
          <w:sz w:val="22"/>
          <w:szCs w:val="22"/>
          <w:shd w:fill="FFFFFF" w:val="clear"/>
        </w:rPr>
        <w:t xml:space="preserve">, São Vicente – </w:t>
      </w:r>
      <w:r>
        <w:rPr>
          <w:rFonts w:ascii="Calibri" w:cs="Arial" w:hAnsi="Calibri"/>
          <w:b/>
          <w:bCs/>
          <w:color w:val="000000"/>
          <w:sz w:val="22"/>
          <w:szCs w:val="22"/>
          <w:shd w:fill="FFFFFF" w:val="clear"/>
        </w:rPr>
        <w:t>SVC,</w:t>
      </w:r>
      <w:r>
        <w:rPr>
          <w:rFonts w:ascii="Calibri" w:cs="Arial" w:hAnsi="Calibri"/>
          <w:color w:val="000000"/>
          <w:sz w:val="22"/>
          <w:szCs w:val="22"/>
          <w:shd w:fill="FFFFFF" w:val="clear"/>
        </w:rPr>
        <w:t xml:space="preserve"> Tangará da Serra – </w:t>
      </w:r>
      <w:r>
        <w:rPr>
          <w:rFonts w:ascii="Calibri" w:cs="Arial" w:hAnsi="Calibri"/>
          <w:b/>
          <w:bCs/>
          <w:color w:val="000000"/>
          <w:sz w:val="22"/>
          <w:szCs w:val="22"/>
          <w:shd w:fill="FFFFFF" w:val="clear"/>
        </w:rPr>
        <w:t>TGA, Varzea Grande – VGA e Universidade Federal de Tocantins</w:t>
      </w:r>
      <w:r>
        <w:rPr>
          <w:rFonts w:ascii="Calibri" w:cs="Arial" w:hAnsi="Calibri"/>
          <w:color w:val="000000"/>
          <w:sz w:val="22"/>
          <w:szCs w:val="22"/>
          <w:shd w:fill="FFFFFF" w:val="clear"/>
        </w:rPr>
        <w:t>. visa a gara</w:t>
      </w:r>
      <w:r>
        <w:rPr>
          <w:rFonts w:ascii="Calibri" w:cs="Arial" w:hAnsi="Calibri"/>
          <w:color w:val="000000"/>
          <w:sz w:val="22"/>
          <w:szCs w:val="22"/>
        </w:rPr>
        <w:t xml:space="preserve">ntir, a qualquer tempo, </w:t>
      </w:r>
      <w:r>
        <w:rPr>
          <w:rFonts w:ascii="Calibri" w:cs="Arial" w:hAnsi="Calibri"/>
          <w:color w:val="000000"/>
          <w:sz w:val="22"/>
          <w:szCs w:val="22"/>
          <w:shd w:fill="FFFFFF" w:val="clear"/>
        </w:rPr>
        <w:t xml:space="preserve">a aquisição de suprimentos de informática necessárias para realização das atividades de Tecnologia da Informação. </w:t>
      </w:r>
    </w:p>
    <w:p>
      <w:pPr>
        <w:pStyle w:val="style0"/>
        <w:widowControl/>
        <w:numPr>
          <w:ilvl w:val="1"/>
          <w:numId w:val="1"/>
        </w:numPr>
        <w:suppressAutoHyphens w:val="true"/>
        <w:spacing w:after="120" w:before="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Os itens relacionados fazem parte da previsão de material de consumo da Coordenadoria de Tecnologia da Informação (CTI), e são indispensáveis para a manutenção do hardware dos computadores, e demais dispositivos de tecnologia da Informação do Campus São Vicente, bem como para a eventual substituição de componentes que apresentem defeitos.</w:t>
      </w:r>
    </w:p>
    <w:p>
      <w:pPr>
        <w:pStyle w:val="style0"/>
        <w:widowControl/>
        <w:numPr>
          <w:ilvl w:val="1"/>
          <w:numId w:val="1"/>
        </w:numPr>
        <w:suppressAutoHyphens w:val="true"/>
        <w:spacing w:after="120" w:before="120" w:line="276" w:lineRule="auto"/>
        <w:ind w:hanging="432" w:left="1142" w:right="0"/>
        <w:contextualSpacing w:val="false"/>
        <w:jc w:val="both"/>
        <w:rPr>
          <w:rFonts w:ascii="Calibri" w:hAnsi="Calibri"/>
          <w:color w:val="000000"/>
          <w:sz w:val="22"/>
          <w:szCs w:val="22"/>
          <w:shd w:fill="FFFFFF" w:val="clear"/>
        </w:rPr>
      </w:pPr>
      <w:r>
        <w:rPr>
          <w:rFonts w:ascii="Calibri" w:cs="Arial" w:hAnsi="Calibri"/>
          <w:color w:val="000000"/>
          <w:sz w:val="22"/>
          <w:szCs w:val="22"/>
          <w:shd w:fill="FFFFFF" w:val="clear"/>
        </w:rPr>
        <w:t xml:space="preserve">Optou-se pelo Registro de Preços por ser mais conveniente para a Administração evitando parcelamentos e fracionamento na aquisição, a compra conjunta entre os campi envolvidos visa conquistar melhores preços juntos aos fornecedores trazendo maior economicidade aos cofres públicos, bem como, amplia o alcance dos benefícios alcançados com este processo para a comunidade administrativa e educacional do IFMT. </w:t>
      </w:r>
      <w:r>
        <w:rPr>
          <w:rFonts w:ascii="Calibri" w:hAnsi="Calibri"/>
          <w:color w:val="000000"/>
          <w:sz w:val="22"/>
          <w:szCs w:val="22"/>
          <w:shd w:fill="FFFFFF" w:val="clear"/>
        </w:rPr>
        <w:t>Procedimentos para registro formal de preços relativos a prestação de serviços e aquisições de bens, para contratações futuras.</w:t>
      </w:r>
    </w:p>
    <w:p>
      <w:pPr>
        <w:pStyle w:val="style0"/>
        <w:widowControl/>
        <w:numPr>
          <w:ilvl w:val="1"/>
          <w:numId w:val="1"/>
        </w:numPr>
        <w:suppressAutoHyphens w:val="true"/>
        <w:spacing w:after="120" w:before="120" w:line="276" w:lineRule="auto"/>
        <w:ind w:hanging="432" w:left="1142" w:right="0"/>
        <w:contextualSpacing w:val="false"/>
        <w:jc w:val="both"/>
        <w:rPr>
          <w:rFonts w:ascii="Calibri" w:hAnsi="Calibri"/>
          <w:color w:val="000000"/>
          <w:sz w:val="22"/>
          <w:szCs w:val="22"/>
        </w:rPr>
      </w:pPr>
      <w:r>
        <w:rPr>
          <w:rFonts w:ascii="Calibri" w:hAnsi="Calibri"/>
          <w:color w:val="000000"/>
          <w:sz w:val="22"/>
          <w:szCs w:val="22"/>
        </w:rPr>
        <w:t>O registro de preços será formalizado por intermédio de Ata de Registro de Preços, e nas demais condições previstas neste termo de Referência.</w:t>
      </w:r>
    </w:p>
    <w:p>
      <w:pPr>
        <w:pStyle w:val="style0"/>
        <w:widowControl/>
        <w:numPr>
          <w:ilvl w:val="1"/>
          <w:numId w:val="1"/>
        </w:numPr>
        <w:suppressAutoHyphens w:val="true"/>
        <w:spacing w:after="120" w:before="120" w:line="276" w:lineRule="auto"/>
        <w:ind w:hanging="432" w:left="1142" w:right="0"/>
        <w:contextualSpacing w:val="false"/>
        <w:jc w:val="both"/>
        <w:rPr>
          <w:rFonts w:ascii="Calibri" w:hAnsi="Calibri"/>
          <w:color w:val="000000"/>
          <w:sz w:val="22"/>
          <w:szCs w:val="22"/>
        </w:rPr>
      </w:pPr>
      <w:r>
        <w:rPr>
          <w:rFonts w:ascii="Calibri" w:hAnsi="Calibri"/>
          <w:color w:val="000000"/>
          <w:sz w:val="22"/>
          <w:szCs w:val="22"/>
        </w:rPr>
        <w:t xml:space="preserve"> </w:t>
      </w:r>
      <w:r>
        <w:rPr>
          <w:rFonts w:ascii="Calibri" w:hAnsi="Calibri"/>
          <w:color w:val="000000"/>
          <w:sz w:val="22"/>
          <w:szCs w:val="22"/>
        </w:rPr>
        <w:t>A existência de preços registrados não obriga a Administração a firmar as contratações que delas poderão advir, facultando-se a realização de licitação específica para a aquisição pretendida, sendo assegurado ao beneficiário do registro preferência de fornecimento em igualdade de condição.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Nesta licitação, será firmada uma Ata de Registro de Preços, que é um documento vinculativo, obrigacional, com característica de compromisso para futura contratação, onde se registram os preços, fornecedores, órgãos participantes e condições a serem praticadas, conforme as disposições contidas no instrumento convocatório e propostas apresentadas.</w:t>
      </w:r>
    </w:p>
    <w:p>
      <w:pPr>
        <w:pStyle w:val="style0"/>
        <w:widowControl/>
        <w:spacing w:after="120" w:before="120" w:line="276" w:lineRule="auto"/>
        <w:ind w:hanging="0" w:left="10"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CLASSIFICAÇÃO DOS BENS COMUNS</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b w:val="false"/>
          <w:bCs w:val="false"/>
          <w:color w:val="000000"/>
          <w:sz w:val="22"/>
          <w:szCs w:val="22"/>
          <w:lang w:bidi="zxx-"/>
        </w:rPr>
      </w:pPr>
      <w:r>
        <w:rPr>
          <w:rFonts w:ascii="Calibri" w:cs="Arial" w:hAnsi="Calibri"/>
          <w:b w:val="false"/>
          <w:bCs w:val="false"/>
          <w:color w:val="000000"/>
          <w:sz w:val="22"/>
          <w:szCs w:val="22"/>
          <w:lang w:bidi="zxx-"/>
        </w:rPr>
        <w:t xml:space="preserve">Os bens a serem adquiridos enquadram-se na classificação de bens comuns, nos termos da Lei n° 10.520, de 2002, do Decreto n° 3.555, de 2000, e do Decreto 5.450, de 2005. </w:t>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rPr>
      </w:pPr>
      <w:r>
        <w:rPr>
          <w:rFonts w:ascii="Calibri" w:cs="Arial" w:hAnsi="Calibri"/>
          <w:b/>
          <w:bCs/>
          <w:color w:val="000000"/>
          <w:sz w:val="22"/>
          <w:szCs w:val="22"/>
        </w:rPr>
        <w:t>ENTREGA E CRITÉRIOS DE ACEITAÇÃO DO OBJETO.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O prazo de entrega dos bens é de 30 (trinta) dias, contados do envio da nota de empenho, em remessa </w:t>
      </w:r>
      <w:r>
        <w:rPr>
          <w:rFonts w:ascii="Calibri" w:cs="Arial" w:hAnsi="Calibri"/>
          <w:i/>
          <w:iCs/>
          <w:color w:val="000000"/>
          <w:sz w:val="22"/>
          <w:szCs w:val="22"/>
        </w:rPr>
        <w:t>única</w:t>
      </w:r>
      <w:r>
        <w:rPr>
          <w:rFonts w:ascii="Calibri" w:cs="Arial" w:hAnsi="Calibri"/>
          <w:iCs/>
          <w:color w:val="000000"/>
          <w:sz w:val="22"/>
          <w:szCs w:val="22"/>
        </w:rPr>
        <w:t>, conforme solicitação e endereços dos Campi relacionados abaixo:</w:t>
      </w:r>
    </w:p>
    <w:p>
      <w:pPr>
        <w:pStyle w:val="style0"/>
        <w:widowControl/>
        <w:suppressAutoHyphens w:val="true"/>
        <w:spacing w:after="120" w:before="120" w:line="276" w:lineRule="auto"/>
        <w:ind w:hanging="0" w:left="1148" w:right="0"/>
        <w:contextualSpacing w:val="false"/>
        <w:jc w:val="both"/>
        <w:rPr>
          <w:rFonts w:ascii="Calibri" w:hAnsi="Calibri"/>
          <w:color w:val="000000"/>
          <w:sz w:val="22"/>
          <w:szCs w:val="22"/>
        </w:rPr>
      </w:pPr>
      <w:r>
        <w:rPr>
          <w:rFonts w:ascii="Calibri" w:hAnsi="Calibri"/>
          <w:color w:val="000000"/>
          <w:sz w:val="22"/>
          <w:szCs w:val="22"/>
        </w:rPr>
        <w:t xml:space="preserve">a) IFMT - </w:t>
      </w:r>
      <w:r>
        <w:rPr>
          <w:rFonts w:ascii="Calibri" w:hAnsi="Calibri"/>
          <w:b/>
          <w:bCs/>
          <w:color w:val="000000"/>
          <w:sz w:val="22"/>
          <w:szCs w:val="22"/>
        </w:rPr>
        <w:t>Alta Floresta</w:t>
      </w:r>
      <w:r>
        <w:rPr>
          <w:rFonts w:ascii="Calibri" w:hAnsi="Calibri"/>
          <w:color w:val="000000"/>
          <w:sz w:val="22"/>
          <w:szCs w:val="22"/>
        </w:rPr>
        <w:t xml:space="preserve"> - Rua A, Bairro: Setor A, 198, Primeiro Andar - CEP: 78580-000, Telefone: (66) 3512-7000, Alta Floresta / MT.</w:t>
      </w:r>
    </w:p>
    <w:p>
      <w:pPr>
        <w:pStyle w:val="style0"/>
        <w:widowControl/>
        <w:suppressAutoHyphens w:val="true"/>
        <w:spacing w:line="276" w:lineRule="auto"/>
        <w:ind w:hanging="0" w:left="1158" w:right="0"/>
        <w:jc w:val="both"/>
        <w:rPr>
          <w:rFonts w:ascii="Calibri" w:hAnsi="Calibri"/>
          <w:color w:val="000000"/>
          <w:sz w:val="22"/>
          <w:szCs w:val="22"/>
        </w:rPr>
      </w:pPr>
      <w:r>
        <w:rPr>
          <w:rFonts w:ascii="Calibri" w:hAnsi="Calibri"/>
          <w:color w:val="000000"/>
          <w:sz w:val="22"/>
          <w:szCs w:val="22"/>
        </w:rPr>
        <w:t xml:space="preserve">b) IFMT - </w:t>
      </w:r>
      <w:r>
        <w:rPr>
          <w:rFonts w:ascii="Calibri" w:hAnsi="Calibri"/>
          <w:b/>
          <w:bCs/>
          <w:color w:val="000000"/>
          <w:sz w:val="22"/>
          <w:szCs w:val="22"/>
        </w:rPr>
        <w:t>Campus Barra do Garças</w:t>
      </w:r>
      <w:r>
        <w:rPr>
          <w:rFonts w:ascii="Calibri" w:hAnsi="Calibri"/>
          <w:color w:val="000000"/>
          <w:sz w:val="22"/>
          <w:szCs w:val="22"/>
        </w:rPr>
        <w:t xml:space="preserve"> - Estrada de acesso a BR-158, Radial José Maurício Zampa, s/n - CEP: 78600-000, Telefone: (66) 3402-0100, Barra do Garças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c) IFMT - </w:t>
      </w:r>
      <w:r>
        <w:rPr>
          <w:rFonts w:ascii="Calibri" w:hAnsi="Calibri"/>
          <w:b/>
          <w:bCs/>
          <w:color w:val="000000"/>
          <w:sz w:val="22"/>
          <w:szCs w:val="22"/>
        </w:rPr>
        <w:t>Campus Cáceres</w:t>
      </w:r>
      <w:r>
        <w:rPr>
          <w:rFonts w:ascii="Calibri" w:hAnsi="Calibri"/>
          <w:color w:val="000000"/>
          <w:sz w:val="22"/>
          <w:szCs w:val="22"/>
        </w:rPr>
        <w:t xml:space="preserve"> - Av. dos Ramires, s/n - CEP: 78200-000, Telefone: (65) 3221-2600, Cáceres / MT.</w:t>
      </w:r>
    </w:p>
    <w:p>
      <w:pPr>
        <w:pStyle w:val="style0"/>
        <w:widowControl/>
        <w:suppressAutoHyphens w:val="true"/>
        <w:spacing w:line="276" w:lineRule="auto"/>
        <w:ind w:hanging="0" w:left="1158" w:right="0"/>
        <w:jc w:val="both"/>
        <w:rPr>
          <w:rFonts w:ascii="Calibri" w:hAnsi="Calibri"/>
          <w:color w:val="000000"/>
          <w:sz w:val="22"/>
          <w:szCs w:val="22"/>
        </w:rPr>
      </w:pPr>
      <w:r>
        <w:rPr>
          <w:rFonts w:ascii="Calibri" w:hAnsi="Calibri"/>
          <w:color w:val="000000"/>
          <w:sz w:val="22"/>
          <w:szCs w:val="22"/>
        </w:rPr>
        <w:t xml:space="preserve">d) IFMT - </w:t>
      </w:r>
      <w:r>
        <w:rPr>
          <w:rFonts w:ascii="Calibri" w:hAnsi="Calibri"/>
          <w:b/>
          <w:bCs/>
          <w:color w:val="000000"/>
          <w:sz w:val="22"/>
          <w:szCs w:val="22"/>
        </w:rPr>
        <w:t xml:space="preserve">Campus Cuiabá </w:t>
      </w:r>
      <w:r>
        <w:rPr>
          <w:rFonts w:ascii="Calibri" w:hAnsi="Calibri"/>
          <w:color w:val="000000"/>
          <w:sz w:val="22"/>
          <w:szCs w:val="22"/>
        </w:rPr>
        <w:t>- Rua Profa. Zulmira Canavarros, 93 - CEP: 78605-200, Telefone: (65) 3318-1400, Cuiabá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e) IFMT - </w:t>
      </w:r>
      <w:r>
        <w:rPr>
          <w:rFonts w:ascii="Calibri" w:hAnsi="Calibri"/>
          <w:b/>
          <w:bCs/>
          <w:color w:val="000000"/>
          <w:sz w:val="22"/>
          <w:szCs w:val="22"/>
        </w:rPr>
        <w:t>Campus Confresa</w:t>
      </w:r>
      <w:r>
        <w:rPr>
          <w:rFonts w:ascii="Calibri" w:hAnsi="Calibri"/>
          <w:color w:val="000000"/>
          <w:sz w:val="22"/>
          <w:szCs w:val="22"/>
        </w:rPr>
        <w:t xml:space="preserve"> - Av. VIlmar Fernandes, 300 - CEP: 78652-000, Telefone: (66) 3564-2600, Confresa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f) IFMT - </w:t>
      </w:r>
      <w:r>
        <w:rPr>
          <w:rFonts w:ascii="Calibri" w:hAnsi="Calibri"/>
          <w:b/>
          <w:bCs/>
          <w:color w:val="000000"/>
          <w:sz w:val="22"/>
          <w:szCs w:val="22"/>
        </w:rPr>
        <w:t>Campus Campo Novo do Parecis</w:t>
      </w:r>
      <w:r>
        <w:rPr>
          <w:rFonts w:ascii="Calibri" w:hAnsi="Calibri"/>
          <w:color w:val="000000"/>
          <w:sz w:val="22"/>
          <w:szCs w:val="22"/>
        </w:rPr>
        <w:t xml:space="preserve"> - MT 235 Km 12, s/n - CEP: 78360-000, Telefone: (65) 3382-6200, Campo Novo do Parecis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g) IFMT - </w:t>
      </w:r>
      <w:r>
        <w:rPr>
          <w:rFonts w:ascii="Calibri" w:hAnsi="Calibri"/>
          <w:b/>
          <w:bCs/>
          <w:color w:val="000000"/>
          <w:sz w:val="22"/>
          <w:szCs w:val="22"/>
        </w:rPr>
        <w:t>Campus Diamantino</w:t>
      </w:r>
      <w:r>
        <w:rPr>
          <w:rFonts w:ascii="Calibri" w:hAnsi="Calibri"/>
          <w:color w:val="000000"/>
          <w:sz w:val="22"/>
          <w:szCs w:val="22"/>
        </w:rPr>
        <w:t xml:space="preserve"> - Rodovia Roberto Campos - Novo Diamantino, None - CEP: 78400-970, Telefone: (65) 3337-1005, Diamantino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h) IFMT - </w:t>
      </w:r>
      <w:r>
        <w:rPr>
          <w:rFonts w:ascii="Calibri" w:hAnsi="Calibri"/>
          <w:b/>
          <w:bCs/>
          <w:color w:val="000000"/>
          <w:sz w:val="22"/>
          <w:szCs w:val="22"/>
        </w:rPr>
        <w:t>Campus Guarantã do Norte</w:t>
      </w:r>
      <w:r>
        <w:rPr>
          <w:rFonts w:ascii="Calibri" w:hAnsi="Calibri"/>
          <w:color w:val="000000"/>
          <w:sz w:val="22"/>
          <w:szCs w:val="22"/>
        </w:rPr>
        <w:t xml:space="preserve"> - Rua Cambará nº 1.145, Centro - CEP: 78520-000, Telefone: (65) 9649-9668, Guarantã do Norte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i) IFMT - </w:t>
      </w:r>
      <w:r>
        <w:rPr>
          <w:rFonts w:ascii="Calibri" w:hAnsi="Calibri"/>
          <w:b/>
          <w:bCs/>
          <w:color w:val="000000"/>
          <w:sz w:val="22"/>
          <w:szCs w:val="22"/>
        </w:rPr>
        <w:t>Campus Juína</w:t>
      </w:r>
      <w:r>
        <w:rPr>
          <w:rFonts w:ascii="Calibri" w:hAnsi="Calibri"/>
          <w:color w:val="000000"/>
          <w:sz w:val="22"/>
          <w:szCs w:val="22"/>
        </w:rPr>
        <w:t xml:space="preserve"> - Linha J, s/n - CEP: 78320-000, Telefone: (66) 3566-7300, Juína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j) IFMT - </w:t>
      </w:r>
      <w:r>
        <w:rPr>
          <w:rFonts w:ascii="Calibri" w:hAnsi="Calibri"/>
          <w:b/>
          <w:bCs/>
          <w:color w:val="000000"/>
          <w:sz w:val="22"/>
          <w:szCs w:val="22"/>
        </w:rPr>
        <w:t>Campus Lucas do Rio Verde</w:t>
      </w:r>
      <w:r>
        <w:rPr>
          <w:rFonts w:ascii="Calibri" w:hAnsi="Calibri"/>
          <w:color w:val="000000"/>
          <w:sz w:val="22"/>
          <w:szCs w:val="22"/>
        </w:rPr>
        <w:t xml:space="preserve"> - Avenida Universitária 1600-W - Bairro: Parque das Emas - CEP: 78455-000, Telefone: (65) 9686-6126, Lucas do Rio Verde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k) IFMT - </w:t>
      </w:r>
      <w:r>
        <w:rPr>
          <w:rFonts w:ascii="Calibri" w:hAnsi="Calibri"/>
          <w:b/>
          <w:bCs/>
          <w:color w:val="000000"/>
          <w:sz w:val="22"/>
          <w:szCs w:val="22"/>
        </w:rPr>
        <w:t>Campus Primavera do Leste</w:t>
      </w:r>
      <w:r>
        <w:rPr>
          <w:rFonts w:ascii="Calibri" w:hAnsi="Calibri"/>
          <w:color w:val="000000"/>
          <w:sz w:val="22"/>
          <w:szCs w:val="22"/>
        </w:rPr>
        <w:t xml:space="preserve"> - AVENIDA SANTO ANTÔNIO, Nº 1.075, Parque Eldorado – Primavera do Leste – MT. Telefone: (66)3498-2716.</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l) IFMT - </w:t>
      </w:r>
      <w:r>
        <w:rPr>
          <w:rFonts w:ascii="Calibri" w:hAnsi="Calibri"/>
          <w:b/>
          <w:bCs/>
          <w:color w:val="000000"/>
          <w:sz w:val="22"/>
          <w:szCs w:val="22"/>
        </w:rPr>
        <w:t>Campus Pontes e Lacerda</w:t>
      </w:r>
      <w:r>
        <w:rPr>
          <w:rFonts w:ascii="Calibri" w:hAnsi="Calibri"/>
          <w:color w:val="000000"/>
          <w:sz w:val="22"/>
          <w:szCs w:val="22"/>
        </w:rPr>
        <w:t xml:space="preserve"> - Rodovia MT-473, s/n - CEP: 78250-000, Telefone: (65) 32668200/3266-8241, Pontes e Lacerda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m) IFMT - </w:t>
      </w:r>
      <w:r>
        <w:rPr>
          <w:rFonts w:ascii="Calibri" w:hAnsi="Calibri"/>
          <w:b/>
          <w:bCs/>
          <w:color w:val="000000"/>
          <w:sz w:val="22"/>
          <w:szCs w:val="22"/>
        </w:rPr>
        <w:t>Campus Rondonópolis</w:t>
      </w:r>
      <w:r>
        <w:rPr>
          <w:rFonts w:ascii="Calibri" w:hAnsi="Calibri"/>
          <w:color w:val="000000"/>
          <w:sz w:val="22"/>
          <w:szCs w:val="22"/>
        </w:rPr>
        <w:t xml:space="preserve"> - Rua Ananias Martins de Souza, nº 861 – Vila Mineira, Rondonópolis – MT . Telefone: (66)3427-2309.</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n) IFMT - </w:t>
      </w:r>
      <w:r>
        <w:rPr>
          <w:rFonts w:ascii="Calibri" w:hAnsi="Calibri"/>
          <w:b/>
          <w:bCs/>
          <w:color w:val="000000"/>
          <w:sz w:val="22"/>
          <w:szCs w:val="22"/>
        </w:rPr>
        <w:t>Reitoria</w:t>
      </w:r>
      <w:r>
        <w:rPr>
          <w:rFonts w:ascii="Calibri" w:hAnsi="Calibri"/>
          <w:color w:val="000000"/>
          <w:sz w:val="22"/>
          <w:szCs w:val="22"/>
        </w:rPr>
        <w:t xml:space="preserve"> - Avenida Sen. Filinto Müller, 953 - Bairro: Duque de Caxias - CEP: 78043-400, Telefone: (65) 3616-4100, Cuiabá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o) IFMT - </w:t>
      </w:r>
      <w:r>
        <w:rPr>
          <w:rFonts w:ascii="Calibri" w:hAnsi="Calibri"/>
          <w:b/>
          <w:bCs/>
          <w:color w:val="000000"/>
          <w:sz w:val="22"/>
          <w:szCs w:val="22"/>
        </w:rPr>
        <w:t>Campus Sinop</w:t>
      </w:r>
      <w:r>
        <w:rPr>
          <w:rFonts w:ascii="Calibri" w:hAnsi="Calibri"/>
          <w:color w:val="000000"/>
          <w:sz w:val="22"/>
          <w:szCs w:val="22"/>
        </w:rPr>
        <w:t xml:space="preserve"> - Rua das Avencas, 2377, Setor Comercial, Centro - CEP: 78557-477-000, Telefone: (65) 9952-0013, Sinop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p) IFMT - </w:t>
      </w:r>
      <w:r>
        <w:rPr>
          <w:rFonts w:ascii="Calibri" w:hAnsi="Calibri"/>
          <w:b/>
          <w:bCs/>
          <w:color w:val="000000"/>
          <w:sz w:val="22"/>
          <w:szCs w:val="22"/>
        </w:rPr>
        <w:t>Campus Sorriso</w:t>
      </w:r>
      <w:r>
        <w:rPr>
          <w:rFonts w:ascii="Calibri" w:hAnsi="Calibri"/>
          <w:color w:val="000000"/>
          <w:sz w:val="22"/>
          <w:szCs w:val="22"/>
        </w:rPr>
        <w:t xml:space="preserve"> - Av. dos Universitários, 799, Bairro: Santa Clara - CEP: 78890-000, Telefone: (65) 9961-2297 - (65) 9985-6928, Sorriso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q) IFMT - </w:t>
      </w:r>
      <w:r>
        <w:rPr>
          <w:rFonts w:ascii="Calibri" w:hAnsi="Calibri"/>
          <w:b/>
          <w:bCs/>
          <w:color w:val="000000"/>
          <w:sz w:val="22"/>
          <w:szCs w:val="22"/>
        </w:rPr>
        <w:t xml:space="preserve">Campus São Vicente </w:t>
      </w:r>
      <w:r>
        <w:rPr>
          <w:rFonts w:ascii="Calibri" w:hAnsi="Calibri"/>
          <w:color w:val="000000"/>
          <w:sz w:val="22"/>
          <w:szCs w:val="22"/>
        </w:rPr>
        <w:t>- SVC - Rodovia BR 364, Km 329, Vila de São Vicente, Município de Santo Antonio do Leverger - MT, Telefone: (65) 3341-2110.</w:t>
      </w:r>
    </w:p>
    <w:p>
      <w:pPr>
        <w:pStyle w:val="style0"/>
        <w:widowControl/>
        <w:suppressAutoHyphens w:val="true"/>
        <w:spacing w:after="120" w:before="120" w:line="276" w:lineRule="auto"/>
        <w:ind w:hanging="0" w:left="1137"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r) IFMT - </w:t>
      </w:r>
      <w:r>
        <w:rPr>
          <w:rFonts w:ascii="Calibri" w:cs="Arial" w:hAnsi="Calibri"/>
          <w:b/>
          <w:bCs/>
          <w:iCs/>
          <w:color w:val="000000"/>
          <w:sz w:val="22"/>
          <w:szCs w:val="22"/>
        </w:rPr>
        <w:t>Campus Tangará da Serra</w:t>
      </w:r>
      <w:r>
        <w:rPr>
          <w:rFonts w:ascii="Calibri" w:cs="Arial" w:hAnsi="Calibri"/>
          <w:iCs/>
          <w:color w:val="000000"/>
          <w:sz w:val="22"/>
          <w:szCs w:val="22"/>
        </w:rPr>
        <w:t xml:space="preserve"> - Rua 28, 980 N - CEP: 78300-000, Telefone: (65) 3311-8500, Tangará da Serra / MT. </w:t>
      </w:r>
    </w:p>
    <w:p>
      <w:pPr>
        <w:pStyle w:val="style0"/>
        <w:widowControl/>
        <w:suppressAutoHyphens w:val="true"/>
        <w:spacing w:after="120" w:before="120" w:line="276" w:lineRule="auto"/>
        <w:ind w:hanging="0" w:left="1137"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s) IFMT – </w:t>
      </w:r>
      <w:r>
        <w:rPr>
          <w:rFonts w:ascii="Calibri" w:cs="Arial" w:hAnsi="Calibri"/>
          <w:b/>
          <w:bCs/>
          <w:iCs/>
          <w:color w:val="000000"/>
          <w:sz w:val="22"/>
          <w:szCs w:val="22"/>
        </w:rPr>
        <w:t>Campus Várzea Grande</w:t>
      </w:r>
      <w:r>
        <w:rPr>
          <w:rFonts w:ascii="Calibri" w:cs="Arial" w:hAnsi="Calibri"/>
          <w:iCs/>
          <w:color w:val="000000"/>
          <w:sz w:val="22"/>
          <w:szCs w:val="22"/>
        </w:rPr>
        <w:t xml:space="preserve"> – Avenida Tiradentes, nº 1300, Lot. Jardim Manaira, Petropolis, Varzea Grande – MT, CEP 78144-424;</w:t>
      </w:r>
    </w:p>
    <w:p>
      <w:pPr>
        <w:pStyle w:val="style0"/>
        <w:widowControl/>
        <w:suppressAutoHyphens w:val="true"/>
        <w:spacing w:after="120" w:before="120" w:line="276" w:lineRule="auto"/>
        <w:ind w:hanging="0" w:left="1137" w:right="0"/>
        <w:contextualSpacing w:val="false"/>
        <w:jc w:val="both"/>
        <w:rPr>
          <w:rFonts w:ascii="Calibri" w:cs="Arial" w:hAnsi="Calibri"/>
          <w:b w:val="false"/>
          <w:bCs w:val="false"/>
          <w:iCs/>
          <w:color w:val="000000"/>
          <w:sz w:val="22"/>
          <w:szCs w:val="22"/>
        </w:rPr>
      </w:pPr>
      <w:r>
        <w:rPr>
          <w:rFonts w:ascii="Calibri" w:cs="Arial" w:hAnsi="Calibri"/>
          <w:iCs/>
          <w:color w:val="000000"/>
          <w:sz w:val="22"/>
          <w:szCs w:val="22"/>
        </w:rPr>
        <w:t xml:space="preserve">t) </w:t>
      </w:r>
      <w:r>
        <w:rPr>
          <w:rFonts w:ascii="Calibri" w:cs="Arial" w:hAnsi="Calibri"/>
          <w:b/>
          <w:bCs/>
          <w:iCs/>
          <w:color w:val="000000"/>
          <w:sz w:val="22"/>
          <w:szCs w:val="22"/>
        </w:rPr>
        <w:t xml:space="preserve">Universidade Federal do Tocantins – </w:t>
      </w:r>
      <w:r>
        <w:rPr>
          <w:rFonts w:ascii="Calibri" w:cs="Arial" w:hAnsi="Calibri"/>
          <w:b w:val="false"/>
          <w:bCs w:val="false"/>
          <w:iCs/>
          <w:color w:val="000000"/>
          <w:sz w:val="22"/>
          <w:szCs w:val="22"/>
        </w:rPr>
        <w:t>Diretoria de tecnologia da Informação: 109 Norte, Av NS 15, ALC-NO 14, Bloco IV, Sala 125, CEP 77001-090 – Palmas – TO.</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 xml:space="preserve">Os bens serão recebidos provisoriamente no prazo de 30 (trinta) dias, pelo(a) responsável pelo acompanhamento e fiscalização do contrato, para efeito de posterior verificação de sua conformidade com as especificações constantes neste Termo de Referência e na proposta. </w:t>
      </w:r>
    </w:p>
    <w:p>
      <w:pPr>
        <w:pStyle w:val="style0"/>
        <w:numPr>
          <w:ilvl w:val="1"/>
          <w:numId w:val="1"/>
        </w:numPr>
        <w:spacing w:after="120" w:before="120" w:line="276" w:lineRule="auto"/>
        <w:ind w:hanging="432" w:left="1142" w:right="0"/>
        <w:contextualSpacing w:val="false"/>
        <w:jc w:val="both"/>
        <w:rPr>
          <w:rFonts w:ascii="Calibri" w:cs="Arial" w:hAnsi="Calibri"/>
          <w:bCs/>
          <w:color w:val="000000"/>
          <w:sz w:val="22"/>
          <w:szCs w:val="22"/>
        </w:rPr>
      </w:pPr>
      <w:r>
        <w:rPr>
          <w:rFonts w:ascii="Calibri" w:cs="Arial" w:hAnsi="Calibri"/>
          <w:bCs/>
          <w:color w:val="000000"/>
          <w:sz w:val="22"/>
          <w:szCs w:val="22"/>
        </w:rPr>
        <w:t>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Os bens serão recebidos definitivamente no prazo de 10 (dez) dias, contados do recebimento provisório, após a verificação da qualidade e quantidade do material e consequente aceitação mediante termo circunstanciado.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Na hipótese de a verificação a que se refere o subitem anterior não ser procedida dentro do prazo fixado, reputar-se-á como realizada, consumando-se o recebimento definitivo no dia do esgotamento do prazo.</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recebimento provisório ou definitivo do objeto não exclui a responsabilidade da contratada pelos prejuízos resultantes da incorreta execução do contrato.</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Serão observados os prazos de validade indicados pelos fabricantes.</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prazo mínimo de garantia de fábrica dos produtos deverá ser de no mínimo 12 meses, a partir do recebimento definitivo dos produtos.</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Não serão aceitos produtos com validade vencida ou com data de fabricação defasada que comprometa a sua plena utilização.</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Relativamente ao disposto no Edital, aplica-se também, subsidiariamente, no que couberem, as disposições do Código de Defesa do Consumidor, instituído pela Lei nº. 8.078, de 11 de setembro de 1990.</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É vedado o fornecimento de qualquer produto em desacordo com as normas expedidas, pelos órgãos oficiais competentes ou, se normas especificadas não existirem, pela Associação Brasileira de Normas Técnicas ou outra entidade credenciada oficial.</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Os produtos poderão ser conferidos detalhadamente em momento posterior a sua entrega, reservando-se ao responsável pelo recebimento, o direito de rejeitá-los quando os produtos não satisfizerem as especificações exigidas na licitação.</w:t>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DAS OBRIGAÇÕES DA CONTRATANTE</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São obrigações da Contratante: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Receber o objeto no prazo e condições estabelecidas no Edital e seus anexos;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Verificar minuciosamente, no prazo fixado, a conformidade dos bens recebidos provisoriamente com as especificações constantes do Edital e da proposta, para fins de aceitação e recebimento definitivo;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Comunicar à Contratada, por escrito, sobre imperfeições, falhas ou irregularidades verificadas no objeto fornecido, para que seja substituído, reparado ou corrigido;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Acompanhar e fiscalizar o cumprimento das obrigações da Contratada, através de comissão/servidor especialmente designado;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Efetuar o pagamento à Contratada</w:t>
      </w:r>
      <w:r>
        <w:rPr>
          <w:rFonts w:ascii="Calibri" w:cs="Arial" w:hAnsi="Calibri"/>
          <w:b/>
          <w:color w:val="000000"/>
          <w:sz w:val="22"/>
          <w:szCs w:val="22"/>
        </w:rPr>
        <w:t xml:space="preserve"> </w:t>
      </w:r>
      <w:r>
        <w:rPr>
          <w:rFonts w:ascii="Calibri" w:cs="Arial" w:hAnsi="Calibri"/>
          <w:color w:val="000000"/>
          <w:sz w:val="22"/>
          <w:szCs w:val="22"/>
        </w:rPr>
        <w:t>no valor correspondente ao fornecimento do objeto, no prazo e forma estabelecidos no Edital e seus anexos;</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style0"/>
        <w:widowControl/>
        <w:numPr>
          <w:ilvl w:val="1"/>
          <w:numId w:val="1"/>
        </w:numPr>
        <w:tabs>
          <w:tab w:leader="none" w:pos="-10" w:val="left"/>
        </w:tabs>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Administração realizará pesquisa de preços periodicamente, em prazo não superior a 180 (cento e oitenta) dias, a fim de verificar a vantajosidade dos preços registrados em Ata.</w:t>
      </w:r>
    </w:p>
    <w:p>
      <w:pPr>
        <w:pStyle w:val="style0"/>
        <w:widowControl/>
        <w:numPr>
          <w:ilvl w:val="0"/>
          <w:numId w:val="1"/>
        </w:numPr>
        <w:spacing w:after="120" w:before="0" w:line="276" w:lineRule="auto"/>
        <w:ind w:hanging="360" w:left="360" w:right="-21"/>
        <w:contextualSpacing w:val="false"/>
        <w:jc w:val="both"/>
        <w:rPr>
          <w:rFonts w:ascii="Calibri" w:cs="Arial" w:hAnsi="Calibri"/>
          <w:b/>
          <w:color w:val="000000"/>
          <w:sz w:val="22"/>
          <w:szCs w:val="22"/>
        </w:rPr>
      </w:pPr>
      <w:r>
        <w:rPr>
          <w:rFonts w:ascii="Calibri" w:cs="Arial" w:hAnsi="Calibri"/>
          <w:b/>
          <w:color w:val="000000"/>
          <w:sz w:val="22"/>
          <w:szCs w:val="22"/>
        </w:rPr>
        <w:t>OBRIGAÇÕES DA CONTRATADA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Contratada deve cumprir todas as obrigações constantes no Edital, seus anexos e sua proposta, assumindo como exclusivamente seus os riscos e as despesas decorrentes da boa e perfeita execução do objeto e, ainda:</w:t>
      </w:r>
    </w:p>
    <w:p>
      <w:pPr>
        <w:pStyle w:val="style0"/>
        <w:numPr>
          <w:ilvl w:val="2"/>
          <w:numId w:val="1"/>
        </w:numPr>
        <w:spacing w:after="120" w:before="120" w:line="276" w:lineRule="auto"/>
        <w:ind w:hanging="504" w:left="1639" w:right="0"/>
        <w:contextualSpacing w:val="false"/>
        <w:jc w:val="both"/>
        <w:rPr>
          <w:rFonts w:ascii="Calibri" w:cs="Arial" w:hAnsi="Calibri"/>
          <w:i/>
          <w:color w:val="000000"/>
          <w:sz w:val="22"/>
          <w:szCs w:val="22"/>
        </w:rPr>
      </w:pPr>
      <w:r>
        <w:rPr>
          <w:rFonts w:ascii="Calibri" w:cs="Arial" w:hAnsi="Calibri"/>
          <w:color w:val="000000"/>
          <w:sz w:val="22"/>
          <w:szCs w:val="22"/>
        </w:rPr>
        <w:t xml:space="preserve">Efetuar a entrega do objeto em perfeitas condições, conforme especificações, prazo e local constantes no Edital e seus anexos, acompanhado da respectiva nota fiscal, na qual constarão as indicações referentes a: </w:t>
      </w:r>
      <w:r>
        <w:rPr>
          <w:rFonts w:ascii="Calibri" w:cs="Arial" w:hAnsi="Calibri"/>
          <w:i/>
          <w:color w:val="000000"/>
          <w:sz w:val="22"/>
          <w:szCs w:val="22"/>
        </w:rPr>
        <w:t xml:space="preserve">marca, fabricante, modelo, procedência e prazo de validade; </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Responsabilizar-se pelos vícios e danos decorrentes do objeto, de acordo com os artigos 12, 13 e 17 a 27, do Código de Defesa do Consumidor (Lei nº 8.078, de 1990);</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Responsabilizar-se por todas as despesas diretas e indiretas, fretes, armazenamento, transporte, impostos, taxas e qualquer outro valor devido a terceiros ou aos seus empregados no cumprimento das obrigações desta licitação.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Responsabilizar-se por possíveis indenizações decorrentes da execução da presente contratação, ocasionadas por erros ou falhas de seus funcionários ou preposto, quando de sua execução.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Substituir, reparar ou corrigir, às suas expensas, no prazo fixado neste Termo de Referência, o objeto com avarias ou defeitos;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Comunicar à Contratante, no prazo máximo de 24 (vinte e quatro) horas que antecede a data da entrega, os motivos que impossibilitem o cumprimento do prazo previsto, com a devida comprovação;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Manter, durante toda a execução do contrato, em compatibilidade com as obrigações assumidas, todas as condições de habilitação e qualificação exigidas na licitação;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Indicar preposto para representá-la durante a execução do contrato.</w:t>
      </w:r>
    </w:p>
    <w:p>
      <w:pPr>
        <w:pStyle w:val="style0"/>
        <w:numPr>
          <w:ilvl w:val="2"/>
          <w:numId w:val="1"/>
        </w:numPr>
        <w:spacing w:after="120" w:before="120" w:line="276" w:lineRule="auto"/>
        <w:ind w:hanging="504" w:left="1639" w:right="0"/>
        <w:contextualSpacing w:val="false"/>
        <w:jc w:val="both"/>
        <w:rPr>
          <w:rFonts w:ascii="Calibri" w:hAnsi="Calibri"/>
          <w:color w:val="000000"/>
          <w:sz w:val="22"/>
          <w:szCs w:val="22"/>
        </w:rPr>
      </w:pPr>
      <w:r>
        <w:rPr>
          <w:rFonts w:ascii="Calibri" w:hAnsi="Calibri"/>
          <w:color w:val="000000"/>
          <w:sz w:val="22"/>
          <w:szCs w:val="22"/>
        </w:rPr>
        <w:t>Entregar o material no Setor de Almoxarifado do respectivo órgão participante, em horário normal de expediente, das 8:00 às 17:00  horas, sendo que seu recebimento definitivo só será feito após aprovado e atestado.</w:t>
      </w:r>
    </w:p>
    <w:p>
      <w:pPr>
        <w:pStyle w:val="style0"/>
        <w:numPr>
          <w:ilvl w:val="2"/>
          <w:numId w:val="1"/>
        </w:numPr>
        <w:spacing w:after="120" w:before="120" w:line="276" w:lineRule="auto"/>
        <w:ind w:hanging="504" w:left="1639" w:right="0"/>
        <w:contextualSpacing w:val="false"/>
        <w:jc w:val="both"/>
        <w:rPr>
          <w:rFonts w:ascii="Calibri" w:hAnsi="Calibri"/>
          <w:color w:val="000000"/>
          <w:sz w:val="22"/>
          <w:szCs w:val="22"/>
        </w:rPr>
      </w:pPr>
      <w:r>
        <w:rPr>
          <w:rFonts w:ascii="Calibri" w:hAnsi="Calibri"/>
          <w:color w:val="000000"/>
          <w:sz w:val="22"/>
          <w:szCs w:val="22"/>
        </w:rPr>
        <w:t>Responder por todo o ônus referente ao fornecimento, como transporte, embalagens, e também os encargos trabalhistas, previdenciários, comerciais e salários dos seus empregados.</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Colocar à disposição da contratante todos os meios necessários para comprovação da qualidade dos materiais fornecidos, permitindo a verificação de sua conformidade com as especificações e exigências do Edital e seus anexos.</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SUBCONTRATAÇÃO</w:t>
      </w:r>
    </w:p>
    <w:p>
      <w:pPr>
        <w:pStyle w:val="style0"/>
        <w:widowControl/>
        <w:spacing w:after="120" w:before="120" w:line="276" w:lineRule="auto"/>
        <w:ind w:hanging="0" w:left="21" w:right="0"/>
        <w:contextualSpacing w:val="false"/>
        <w:jc w:val="both"/>
        <w:rPr>
          <w:rFonts w:ascii="Calibri" w:cs="Arial" w:hAnsi="Calibri"/>
          <w:i/>
          <w:color w:val="000000"/>
          <w:sz w:val="22"/>
          <w:szCs w:val="22"/>
        </w:rPr>
      </w:pPr>
      <w:r>
        <w:rPr>
          <w:rFonts w:ascii="Calibri" w:cs="Arial" w:hAnsi="Calibri"/>
          <w:i/>
          <w:color w:val="000000"/>
          <w:sz w:val="22"/>
          <w:szCs w:val="22"/>
        </w:rPr>
        <w:t>7.1 Não será admitida a subcontratação do objeto licitatório.</w:t>
      </w:r>
    </w:p>
    <w:p>
      <w:pPr>
        <w:pStyle w:val="style0"/>
        <w:widowControl/>
        <w:numPr>
          <w:ilvl w:val="0"/>
          <w:numId w:val="1"/>
        </w:numPr>
        <w:spacing w:after="120" w:before="0" w:line="276" w:lineRule="auto"/>
        <w:ind w:hanging="360" w:left="360" w:right="-21"/>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ALTERAÇÃO SUBJETIVA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CONTROLE DA EXECUÇÃO</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recebimento de material de valor superior a R$ 80.000,00 (oitenta mil reais) será confiado a uma comissão de, no mínimo, 3 (três) membros, designados pela autoridade competente.</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 fiscalização de que trata este item não exclui nem reduz a </w:t>
      </w:r>
      <w:r>
        <w:rPr>
          <w:rFonts w:ascii="Calibri" w:cs="Arial" w:hAnsi="Calibri"/>
          <w:color w:val="000000"/>
          <w:sz w:val="22"/>
          <w:szCs w:val="22"/>
        </w:rPr>
        <w:t>responsabilidade</w:t>
      </w:r>
      <w:r>
        <w:rPr>
          <w:rFonts w:ascii="Calibri" w:cs="Arial" w:hAnsi="Calibri"/>
          <w:color w:val="000000"/>
          <w:sz w:val="22"/>
          <w:szCs w:val="22"/>
          <w:lang w:eastAsia="en-US"/>
        </w:rPr>
        <w:t xml:space="preserv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DAS SANÇÕES ADMINISTRATIVAS</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Comete infração administrativa nos termos da Lei nº 8.666, de 1993 e da Lei nº 10.520, de 2002, a Contratada que: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Inexecutar total ou parcialmente qualquer das obrigações assumidas em decorrência da contratação;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Ensejar o retardamento da execução do objeto;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Fraudar na execução do contrato;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Comportar-se de modo inidôneo;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Cometer fraude fiscal;</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Não mantiver a proposta.</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Contratada que cometer qualquer das infrações discriminadas no subitem acima ficará sujeita, sem prejuízo da responsabilidade civil e criminal, às seguintes sanções: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Advertência por faltas leves, assim entendidas aquelas que não acarretem prejuízos significativos para a Contratante;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Multa moratória de 0,2% (zero vírgula dois por cento) por dia de atraso injustificado sobre o valor da parcela inadimplida, até o limite de 25 (vinte e cinco) dias;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Multa compensatória de 10% (dez por cento) sobre o valor total do contrato, no caso de inexecução total do objeto;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Em caso de inexecução parcial, a multa compensatória, no mesmo percentual do subitem acima, será aplicada de forma proporcional à obrigação inadimplida;</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As multas aplicadas e não recolhidas pela contratada será registrada no CADIN, conforme Lei nº 10.522/2002.</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 xml:space="preserve">Suspensão de licitar e impedimento de contratar com o órgão, entidade ou unidade administrativa pela qual a Administração Pública opera e atua concretamente, pelo prazo de até dois anos; </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Impedimento de licitar e contratar com a União com o consequente descredenciamento no SICAF pelo prazo de até cinco anos;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Também ficam sujeitas às penalidades do art. 87, III e IV da Lei nº 8.666, de 1993, as empresas e os profissionais que: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Tenham sofrido condenação definitiva por praticar, por meio dolosos, fraude fiscal no recolhimento de quaisquer tributos;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Tenham praticado atos ilícitos visando a frustrar os objetivos da licitação;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Demonstrem não possuir idoneidade para contratar com a Administração em virtude de atos ilícitos praticados.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As penalidades serão obrigatoriamente registradas no SICAF.</w:t>
      </w:r>
    </w:p>
    <w:p>
      <w:pPr>
        <w:pStyle w:val="style0"/>
        <w:spacing w:after="120" w:before="120" w:line="276" w:lineRule="auto"/>
        <w:ind w:hanging="432" w:left="425" w:right="0"/>
        <w:contextualSpacing w:val="false"/>
        <w:jc w:val="both"/>
        <w:rPr>
          <w:rFonts w:ascii="Calibri" w:hAnsi="Calibri"/>
          <w:color w:val="000000"/>
          <w:sz w:val="22"/>
          <w:szCs w:val="22"/>
        </w:rPr>
      </w:pPr>
      <w:r>
        <w:rPr>
          <w:rFonts w:ascii="Calibri" w:hAnsi="Calibri"/>
          <w:color w:val="000000"/>
          <w:sz w:val="22"/>
          <w:szCs w:val="22"/>
        </w:rPr>
      </w:r>
    </w:p>
    <w:p>
      <w:pPr>
        <w:pStyle w:val="style0"/>
        <w:spacing w:after="360" w:before="0"/>
        <w:ind w:hanging="0" w:left="360" w:right="0"/>
        <w:contextualSpacing w:val="false"/>
        <w:rPr>
          <w:rFonts w:ascii="Calibri" w:cs="Arial" w:hAnsi="Calibri"/>
          <w:color w:val="000000"/>
          <w:sz w:val="22"/>
          <w:szCs w:val="22"/>
        </w:rPr>
      </w:pPr>
      <w:r>
        <w:rPr>
          <w:rFonts w:ascii="Calibri" w:cs="Arial" w:hAnsi="Calibri"/>
          <w:i/>
          <w:color w:val="000000"/>
          <w:sz w:val="22"/>
          <w:szCs w:val="22"/>
        </w:rPr>
        <w:t>São Vicente da Serra - MT</w:t>
      </w:r>
      <w:r>
        <w:rPr>
          <w:rFonts w:ascii="Calibri" w:cs="Arial" w:hAnsi="Calibri"/>
          <w:b/>
          <w:bCs/>
          <w:color w:val="000000"/>
          <w:sz w:val="22"/>
          <w:szCs w:val="22"/>
        </w:rPr>
        <w:t xml:space="preserve"> 08 de agosto de 2017</w:t>
      </w:r>
      <w:r>
        <w:rPr>
          <w:rFonts w:ascii="Calibri" w:cs="Arial" w:hAnsi="Calibri"/>
          <w:color w:val="000000"/>
          <w:sz w:val="22"/>
          <w:szCs w:val="22"/>
        </w:rPr>
        <w:t xml:space="preserve">. </w:t>
      </w:r>
    </w:p>
    <w:p>
      <w:pPr>
        <w:pStyle w:val="style67"/>
        <w:jc w:val="center"/>
        <w:rPr>
          <w:rFonts w:ascii="Calibri" w:cs="Arial" w:hAnsi="Calibri"/>
          <w:b/>
          <w:bCs/>
          <w:color w:val="000000"/>
          <w:sz w:val="22"/>
          <w:szCs w:val="22"/>
        </w:rPr>
      </w:pPr>
      <w:r>
        <w:rPr>
          <w:rFonts w:ascii="Calibri" w:cs="Arial" w:hAnsi="Calibri"/>
          <w:b/>
          <w:bCs/>
          <w:color w:val="000000"/>
          <w:sz w:val="22"/>
          <w:szCs w:val="22"/>
        </w:rPr>
      </w:r>
    </w:p>
    <w:p>
      <w:pPr>
        <w:pStyle w:val="style67"/>
        <w:jc w:val="center"/>
        <w:rPr>
          <w:rFonts w:ascii="Calibri" w:cs="Arial" w:hAnsi="Calibri"/>
          <w:b/>
          <w:bCs/>
          <w:color w:val="000000"/>
          <w:sz w:val="22"/>
          <w:szCs w:val="22"/>
        </w:rPr>
      </w:pPr>
      <w:r>
        <w:rPr>
          <w:rFonts w:ascii="Calibri" w:cs="Arial" w:hAnsi="Calibri"/>
          <w:b/>
          <w:bCs/>
          <w:color w:val="000000"/>
          <w:sz w:val="22"/>
          <w:szCs w:val="22"/>
        </w:rPr>
        <w:t>OSVALDO MARTINS CAPELANI</w:t>
      </w:r>
    </w:p>
    <w:p>
      <w:pPr>
        <w:pStyle w:val="style67"/>
        <w:jc w:val="center"/>
        <w:rPr>
          <w:rFonts w:ascii="Calibri" w:cs="Arial" w:hAnsi="Calibri"/>
          <w:b/>
          <w:bCs/>
          <w:color w:val="000000"/>
          <w:sz w:val="22"/>
          <w:szCs w:val="22"/>
        </w:rPr>
      </w:pPr>
      <w:r>
        <w:rPr>
          <w:rFonts w:ascii="Calibri" w:cs="Arial" w:hAnsi="Calibri"/>
          <w:b/>
          <w:bCs/>
          <w:color w:val="000000"/>
          <w:sz w:val="22"/>
          <w:szCs w:val="22"/>
        </w:rPr>
        <w:t>Coordenador de Tecnologia da Informação</w:t>
      </w:r>
    </w:p>
    <w:p>
      <w:pPr>
        <w:pStyle w:val="style67"/>
        <w:jc w:val="center"/>
        <w:rPr>
          <w:rFonts w:ascii="Calibri" w:cs="Arial" w:hAnsi="Calibri"/>
          <w:color w:val="000000"/>
          <w:sz w:val="22"/>
          <w:szCs w:val="22"/>
        </w:rPr>
      </w:pPr>
      <w:r>
        <w:rPr>
          <w:rFonts w:ascii="Calibri" w:cs="Arial" w:hAnsi="Calibri"/>
          <w:color w:val="000000"/>
          <w:sz w:val="22"/>
          <w:szCs w:val="22"/>
        </w:rPr>
      </w:r>
    </w:p>
    <w:p>
      <w:pPr>
        <w:pStyle w:val="style67"/>
        <w:jc w:val="center"/>
        <w:rPr>
          <w:rFonts w:ascii="Calibri" w:cs="Arial" w:hAnsi="Calibri"/>
          <w:b/>
          <w:color w:val="000000"/>
          <w:sz w:val="22"/>
          <w:szCs w:val="22"/>
        </w:rPr>
      </w:pPr>
      <w:r>
        <w:rPr>
          <w:rFonts w:ascii="Calibri" w:cs="Arial" w:hAnsi="Calibri"/>
          <w:b/>
          <w:color w:val="000000"/>
          <w:sz w:val="22"/>
          <w:szCs w:val="22"/>
        </w:rPr>
        <w:t>FRANCIELLY KAROLINE AIRES CARLINI</w:t>
      </w:r>
    </w:p>
    <w:p>
      <w:pPr>
        <w:pStyle w:val="style67"/>
        <w:jc w:val="center"/>
        <w:rPr>
          <w:rFonts w:ascii="Calibri" w:cs="Arial" w:hAnsi="Calibri"/>
          <w:b/>
          <w:bCs/>
          <w:color w:val="000000"/>
          <w:sz w:val="22"/>
          <w:szCs w:val="22"/>
        </w:rPr>
      </w:pPr>
      <w:r>
        <w:rPr>
          <w:rFonts w:ascii="Calibri" w:cs="Arial" w:hAnsi="Calibri"/>
          <w:b/>
          <w:bCs/>
          <w:color w:val="000000"/>
          <w:sz w:val="22"/>
          <w:szCs w:val="22"/>
        </w:rPr>
        <w:t>Diretora de Administração e Planejamento</w:t>
      </w:r>
    </w:p>
    <w:p>
      <w:pPr>
        <w:pStyle w:val="style0"/>
        <w:jc w:val="center"/>
        <w:rPr>
          <w:rFonts w:ascii="Calibri" w:cs="Arial" w:hAnsi="Calibri"/>
          <w:color w:val="000000"/>
          <w:sz w:val="22"/>
          <w:szCs w:val="22"/>
        </w:rPr>
      </w:pPr>
      <w:r>
        <w:rPr>
          <w:rFonts w:ascii="Calibri" w:cs="Arial" w:hAnsi="Calibri"/>
          <w:color w:val="000000"/>
          <w:sz w:val="22"/>
          <w:szCs w:val="22"/>
        </w:rPr>
      </w:r>
    </w:p>
    <w:p>
      <w:pPr>
        <w:pStyle w:val="style67"/>
        <w:rPr>
          <w:rFonts w:ascii="Calibri" w:cs="Arial" w:hAnsi="Calibri"/>
          <w:color w:val="000000"/>
          <w:sz w:val="22"/>
          <w:szCs w:val="22"/>
        </w:rPr>
      </w:pPr>
      <w:r>
        <w:rPr>
          <w:rFonts w:ascii="Calibri" w:cs="Arial" w:hAnsi="Calibri"/>
          <w:color w:val="000000"/>
          <w:sz w:val="22"/>
          <w:szCs w:val="22"/>
        </w:rPr>
        <w:t>Aprovo o presente Termo de Referência e autorizo a continuidade do Processo. Desde que se obedeçam as formalidades legais, bem como as estabelecidas neste Termo de Referência.</w:t>
      </w:r>
    </w:p>
    <w:p>
      <w:pPr>
        <w:pStyle w:val="style0"/>
        <w:jc w:val="both"/>
        <w:rPr>
          <w:rFonts w:ascii="Calibri" w:cs="Arial" w:hAnsi="Calibri"/>
          <w:color w:val="000000"/>
          <w:sz w:val="22"/>
          <w:szCs w:val="22"/>
        </w:rPr>
      </w:pPr>
      <w:r>
        <w:rPr>
          <w:rFonts w:ascii="Calibri" w:cs="Arial" w:hAnsi="Calibri"/>
          <w:color w:val="000000"/>
          <w:sz w:val="22"/>
          <w:szCs w:val="22"/>
        </w:rPr>
      </w:r>
    </w:p>
    <w:p>
      <w:pPr>
        <w:pStyle w:val="style0"/>
        <w:jc w:val="both"/>
        <w:rPr>
          <w:rFonts w:ascii="Calibri" w:cs="Arial" w:hAnsi="Calibri"/>
          <w:color w:val="000000"/>
          <w:sz w:val="22"/>
          <w:szCs w:val="22"/>
        </w:rPr>
      </w:pPr>
      <w:r>
        <w:rPr>
          <w:rFonts w:ascii="Calibri" w:cs="Arial" w:hAnsi="Calibri"/>
          <w:color w:val="000000"/>
          <w:sz w:val="22"/>
          <w:szCs w:val="22"/>
        </w:rPr>
        <w:t>Em, ______/______/_____</w:t>
      </w:r>
    </w:p>
    <w:p>
      <w:pPr>
        <w:pStyle w:val="style67"/>
        <w:jc w:val="center"/>
        <w:rPr>
          <w:rFonts w:ascii="Calibri" w:cs="Arial" w:hAnsi="Calibri"/>
          <w:color w:val="000000"/>
          <w:sz w:val="22"/>
          <w:szCs w:val="22"/>
        </w:rPr>
      </w:pPr>
      <w:r>
        <w:rPr>
          <w:rFonts w:ascii="Calibri" w:cs="Arial" w:hAnsi="Calibri"/>
          <w:color w:val="000000"/>
          <w:sz w:val="22"/>
          <w:szCs w:val="22"/>
        </w:rPr>
      </w:r>
    </w:p>
    <w:p>
      <w:pPr>
        <w:pStyle w:val="style67"/>
        <w:jc w:val="center"/>
        <w:rPr>
          <w:rFonts w:ascii="Calibri" w:cs="Arial" w:hAnsi="Calibri"/>
          <w:b/>
          <w:bCs/>
          <w:color w:val="000000"/>
          <w:sz w:val="22"/>
          <w:szCs w:val="22"/>
        </w:rPr>
      </w:pPr>
      <w:r>
        <w:rPr>
          <w:rFonts w:ascii="Calibri" w:cs="Arial" w:hAnsi="Calibri"/>
          <w:b/>
          <w:bCs/>
          <w:color w:val="000000"/>
          <w:sz w:val="22"/>
          <w:szCs w:val="22"/>
        </w:rPr>
        <w:t>LIVIO DOS SANTOS WOGEL</w:t>
      </w:r>
    </w:p>
    <w:p>
      <w:pPr>
        <w:pStyle w:val="style0"/>
        <w:spacing w:after="360" w:before="0"/>
        <w:ind w:hanging="0" w:left="360" w:right="0"/>
        <w:contextualSpacing w:val="false"/>
        <w:jc w:val="center"/>
        <w:rPr>
          <w:rFonts w:ascii="Calibri" w:cs="Arial" w:hAnsi="Calibri"/>
          <w:b/>
          <w:bCs/>
          <w:sz w:val="22"/>
          <w:szCs w:val="22"/>
        </w:rPr>
      </w:pPr>
      <w:r>
        <w:rPr>
          <w:rFonts w:ascii="Calibri" w:cs="Arial" w:hAnsi="Calibri"/>
          <w:b/>
          <w:bCs/>
          <w:sz w:val="22"/>
          <w:szCs w:val="22"/>
        </w:rPr>
        <w:t>Diretor-Geral IFMT – Campus São Vicente</w:t>
      </w:r>
    </w:p>
    <w:p>
      <w:pPr>
        <w:pStyle w:val="style0"/>
        <w:spacing w:after="360" w:before="0"/>
        <w:ind w:hanging="0" w:left="360" w:right="0"/>
        <w:contextualSpacing w:val="false"/>
        <w:rPr>
          <w:rFonts w:ascii="Calibri" w:cs="Arial" w:hAnsi="Calibri"/>
          <w:sz w:val="22"/>
          <w:szCs w:val="22"/>
        </w:rPr>
      </w:pPr>
      <w:r>
        <w:rPr>
          <w:rFonts w:ascii="Calibri" w:cs="Arial" w:hAnsi="Calibri"/>
          <w:sz w:val="22"/>
          <w:szCs w:val="22"/>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sectPr>
      <w:footerReference r:id="rId3"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Calibri">
    <w:charset w:val="00"/>
    <w:family w:val="roman"/>
    <w:pitch w:val="variable"/>
  </w:font>
  <w:font w:name="Liberation Serif">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80"/>
      <w:rPr>
        <w:rFonts w:ascii="Times New Roman" w:cs="Times New Roman" w:hAnsi="Times New Roman"/>
      </w:rPr>
    </w:pPr>
    <w:r>
      <w:rPr>
        <w:rFonts w:ascii="Times New Roman" w:cs="Times New Roman" w:hAnsi="Times New Roman"/>
      </w:rPr>
      <w:t>__________________________________________________________________</w:t>
    </w:r>
  </w:p>
  <w:p>
    <w:pPr>
      <w:pStyle w:val="style80"/>
      <w:rPr>
        <w:rFonts w:cs="Arial"/>
        <w:sz w:val="12"/>
        <w:szCs w:val="12"/>
      </w:rPr>
    </w:pPr>
    <w:r>
      <w:rPr>
        <w:rFonts w:cs="Arial"/>
        <w:sz w:val="12"/>
        <w:szCs w:val="12"/>
      </w:rPr>
      <w:t>Comissão Permanente de Atualização de Editais da Consultoria-Geral da União</w:t>
    </w:r>
  </w:p>
  <w:p>
    <w:pPr>
      <w:pStyle w:val="style80"/>
      <w:rPr>
        <w:rFonts w:cs="Arial"/>
        <w:sz w:val="12"/>
        <w:szCs w:val="12"/>
      </w:rPr>
    </w:pPr>
    <w:r>
      <w:rPr>
        <w:rFonts w:cs="Arial"/>
        <w:sz w:val="12"/>
        <w:szCs w:val="12"/>
      </w:rPr>
      <w:t>Termo de Referência - Modelo para SRP Pregão Eletrônico – Compras</w:t>
    </w:r>
  </w:p>
  <w:p>
    <w:pPr>
      <w:pStyle w:val="style80"/>
      <w:rPr>
        <w:rFonts w:cs="Arial"/>
        <w:sz w:val="12"/>
        <w:szCs w:val="12"/>
      </w:rPr>
    </w:pPr>
    <w:r>
      <w:rPr>
        <w:rFonts w:cs="Arial"/>
        <w:sz w:val="12"/>
        <w:szCs w:val="12"/>
      </w:rPr>
      <w:t>Atualização: Janeiro/2016</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sz w:val="24"/>
        <w:b/>
        <w:szCs w:val="24"/>
      </w:rPr>
    </w:lvl>
    <w:lvl w:ilvl="1">
      <w:start w:val="1"/>
      <w:numFmt w:val="decimal"/>
      <w:lvlText w:val="%1.%2."/>
      <w:lvlJc w:val="left"/>
      <w:pPr>
        <w:ind w:hanging="432" w:left="1142"/>
      </w:pPr>
      <w:rPr>
        <w:color w:val="00000A"/>
        <w:sz w:val="22"/>
        <w:i w:val="false"/>
        <w:b w:val="false"/>
        <w:szCs w:val="22"/>
      </w:rPr>
    </w:lvl>
    <w:lvl w:ilvl="2">
      <w:start w:val="1"/>
      <w:numFmt w:val="decimal"/>
      <w:lvlText w:val="%1.%2.%3."/>
      <w:lvlJc w:val="left"/>
      <w:pPr>
        <w:ind w:hanging="504" w:left="1639"/>
      </w:pPr>
      <w:rPr>
        <w:color w:val="00000A"/>
        <w:sz w:val="22"/>
        <w:i w:val="false"/>
        <w:b w:val="false"/>
        <w:szCs w:val="22"/>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15"/>
  <w:defaultTabStop w:val="720"/>
</w:settings>
</file>

<file path=word/styles.xml><?xml version="1.0" encoding="utf-8"?>
<w:styles xmlns:w="http://schemas.openxmlformats.org/wordprocessingml/2006/main">
  <w:style w:styleId="style0" w:type="paragraph">
    <w:name w:val="Normal"/>
    <w:next w:val="style0"/>
    <w:pPr>
      <w:widowControl/>
      <w:suppressAutoHyphens w:val="true"/>
    </w:pPr>
    <w:rPr>
      <w:rFonts w:ascii="Arial" w:cs="Tahoma" w:eastAsia="Times New Roman" w:hAnsi="Arial"/>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Balloon Text Char"/>
    <w:next w:val="style16"/>
    <w:rPr>
      <w:rFonts w:ascii="Tahoma" w:cs="Tahoma" w:hAnsi="Tahoma"/>
      <w:sz w:val="16"/>
      <w:szCs w:val="16"/>
    </w:rPr>
  </w:style>
  <w:style w:styleId="style17" w:type="character">
    <w:name w:val="Heading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Grade Colorida - Ênfase 1 Char"/>
    <w:next w:val="style21"/>
    <w:rPr>
      <w:rFonts w:ascii="Ecofont_Spranq_eco_Sans" w:cs="Tahoma" w:eastAsia="Calibri" w:hAnsi="Ecofont_Spranq_eco_Sans"/>
      <w:i/>
      <w:iCs/>
      <w:color w:val="000000"/>
      <w:szCs w:val="24"/>
      <w:shd w:fill="FFFFCC" w:val="clear"/>
      <w:lang w:eastAsia="en-US"/>
    </w:rPr>
  </w:style>
  <w:style w:styleId="style22" w:type="character">
    <w:name w:val="citação 2 Char"/>
    <w:basedOn w:val="style21"/>
    <w:next w:val="style22"/>
    <w:rPr>
      <w:rFonts w:ascii="Ecofont_Spranq_eco_Sans" w:cs="Tahoma" w:eastAsia="Calibri" w:hAnsi="Ecofont_Spranq_eco_Sans"/>
      <w:i/>
      <w:iCs/>
      <w:color w:val="000000"/>
      <w:szCs w:val="24"/>
      <w:shd w:fill="FFFFCC" w:val="clear"/>
      <w:lang w:eastAsia="en-US"/>
    </w:rPr>
  </w:style>
  <w:style w:styleId="style23" w:type="character">
    <w:name w:val="Quote Char"/>
    <w:basedOn w:val="style15"/>
    <w:next w:val="style23"/>
    <w:rPr>
      <w:rFonts w:ascii="Ecofont_Spranq_eco_Sans" w:eastAsia="Calibri" w:hAnsi="Ecofont_Spranq_eco_Sans"/>
      <w:i/>
      <w:iCs/>
      <w:color w:val="000000"/>
      <w:szCs w:val="24"/>
      <w:shd w:fill="FFFFCC" w:val="clear"/>
      <w:lang w:eastAsia="en-US" w:val="pt-BR"/>
    </w:rPr>
  </w:style>
  <w:style w:styleId="style24" w:type="character">
    <w:name w:val="Header Char"/>
    <w:basedOn w:val="style15"/>
    <w:next w:val="style24"/>
    <w:rPr>
      <w:rFonts w:ascii="Ecofont_Spranq_eco_Sans" w:cs="Tahoma" w:hAnsi="Ecofont_Spranq_eco_Sans"/>
      <w:sz w:val="24"/>
      <w:szCs w:val="24"/>
    </w:rPr>
  </w:style>
  <w:style w:styleId="style25" w:type="character">
    <w:name w:val="Footer Char"/>
    <w:basedOn w:val="style15"/>
    <w:next w:val="style25"/>
    <w:rPr>
      <w:rFonts w:ascii="Ecofont_Spranq_eco_Sans" w:cs="Tahoma" w:hAnsi="Ecofont_Spranq_eco_Sans"/>
      <w:sz w:val="24"/>
      <w:szCs w:val="24"/>
    </w:rPr>
  </w:style>
  <w:style w:styleId="style26" w:type="character">
    <w:name w:val="Heading 1 Char"/>
    <w:basedOn w:val="style15"/>
    <w:next w:val="style26"/>
    <w:rPr>
      <w:rFonts w:ascii="Cambria" w:cs="" w:hAnsi="Cambria"/>
      <w:color w:val="365F91"/>
      <w:sz w:val="32"/>
      <w:szCs w:val="32"/>
    </w:rPr>
  </w:style>
  <w:style w:styleId="style27" w:type="character">
    <w:name w:val="annotation reference"/>
    <w:basedOn w:val="style15"/>
    <w:next w:val="style27"/>
    <w:rPr>
      <w:sz w:val="18"/>
      <w:szCs w:val="18"/>
    </w:rPr>
  </w:style>
  <w:style w:styleId="style28" w:type="character">
    <w:name w:val="Comment Text Char"/>
    <w:basedOn w:val="style15"/>
    <w:next w:val="style28"/>
    <w:rPr>
      <w:rFonts w:ascii="Arial" w:cs="Tahoma" w:hAnsi="Arial"/>
      <w:sz w:val="24"/>
      <w:szCs w:val="24"/>
    </w:rPr>
  </w:style>
  <w:style w:styleId="style29" w:type="character">
    <w:name w:val="ListLabel 1"/>
    <w:next w:val="style29"/>
    <w:rPr>
      <w:b/>
    </w:rPr>
  </w:style>
  <w:style w:styleId="style30" w:type="character">
    <w:name w:val="ListLabel 2"/>
    <w:next w:val="style30"/>
    <w:rPr>
      <w:b w:val="false"/>
      <w:i w:val="false"/>
      <w:color w:val="00000A"/>
    </w:rPr>
  </w:style>
  <w:style w:styleId="style31" w:type="character">
    <w:name w:val="ListLabel 3"/>
    <w:next w:val="style31"/>
    <w:rPr>
      <w:rFonts w:eastAsia="Arial Unicode MS"/>
    </w:rPr>
  </w:style>
  <w:style w:styleId="style32" w:type="character">
    <w:name w:val="ListLabel 4"/>
    <w:next w:val="style32"/>
    <w:rPr>
      <w:rFonts w:cs="Arial"/>
      <w:i/>
      <w:color w:val="FF0000"/>
    </w:rPr>
  </w:style>
  <w:style w:styleId="style33" w:type="character">
    <w:name w:val="ListLabel 5"/>
    <w:next w:val="style33"/>
    <w:rPr>
      <w:color w:val="0000FF"/>
    </w:rPr>
  </w:style>
  <w:style w:styleId="style34" w:type="character">
    <w:name w:val="ListLabel 6"/>
    <w:next w:val="style34"/>
    <w:rPr>
      <w:b w:val="false"/>
    </w:rPr>
  </w:style>
  <w:style w:styleId="style35" w:type="character">
    <w:name w:val="ListLabel 7"/>
    <w:next w:val="style35"/>
    <w:rPr>
      <w:b/>
      <w:i w:val="false"/>
    </w:rPr>
  </w:style>
  <w:style w:styleId="style36" w:type="character">
    <w:name w:val="ListLabel 8"/>
    <w:next w:val="style36"/>
    <w:rPr>
      <w:b/>
      <w:i w:val="false"/>
      <w:color w:val="00000A"/>
    </w:rPr>
  </w:style>
  <w:style w:styleId="style37" w:type="character">
    <w:name w:val="ListLabel 9"/>
    <w:next w:val="style37"/>
    <w:rPr>
      <w:b w:val="false"/>
      <w:i w:val="false"/>
    </w:rPr>
  </w:style>
  <w:style w:styleId="style38" w:type="character">
    <w:name w:val="ListLabel 10"/>
    <w:next w:val="style38"/>
    <w:rPr>
      <w:rFonts w:cs="Courier New"/>
    </w:rPr>
  </w:style>
  <w:style w:styleId="style39" w:type="character">
    <w:name w:val="ListLabel 11"/>
    <w:next w:val="style39"/>
    <w:rPr>
      <w:rFonts w:ascii="Calibri" w:hAnsi="Calibri"/>
      <w:b/>
      <w:sz w:val="24"/>
      <w:szCs w:val="24"/>
    </w:rPr>
  </w:style>
  <w:style w:styleId="style40" w:type="character">
    <w:name w:val="ListLabel 12"/>
    <w:next w:val="style40"/>
    <w:rPr>
      <w:rFonts w:ascii="Calibri" w:hAnsi="Calibri"/>
      <w:b w:val="false"/>
      <w:i w:val="false"/>
      <w:color w:val="00000A"/>
      <w:sz w:val="22"/>
      <w:szCs w:val="22"/>
    </w:rPr>
  </w:style>
  <w:style w:styleId="style41" w:type="character">
    <w:name w:val="ListLabel 13"/>
    <w:next w:val="style41"/>
    <w:rPr>
      <w:rFonts w:cs="Symbol"/>
    </w:rPr>
  </w:style>
  <w:style w:styleId="style42" w:type="character">
    <w:name w:val="ListLabel 14"/>
    <w:next w:val="style42"/>
    <w:rPr>
      <w:b/>
      <w:sz w:val="24"/>
      <w:szCs w:val="24"/>
    </w:rPr>
  </w:style>
  <w:style w:styleId="style43" w:type="character">
    <w:name w:val="ListLabel 15"/>
    <w:next w:val="style43"/>
    <w:rPr>
      <w:b w:val="false"/>
      <w:i w:val="false"/>
      <w:color w:val="00000A"/>
      <w:sz w:val="22"/>
      <w:szCs w:val="22"/>
    </w:rPr>
  </w:style>
  <w:style w:styleId="style44" w:type="character">
    <w:name w:val="ListLabel 16"/>
    <w:next w:val="style44"/>
    <w:rPr>
      <w:b/>
      <w:sz w:val="24"/>
      <w:szCs w:val="24"/>
    </w:rPr>
  </w:style>
  <w:style w:styleId="style45" w:type="character">
    <w:name w:val="ListLabel 17"/>
    <w:next w:val="style45"/>
    <w:rPr>
      <w:b w:val="false"/>
      <w:i w:val="false"/>
      <w:color w:val="00000A"/>
      <w:sz w:val="22"/>
      <w:szCs w:val="22"/>
    </w:rPr>
  </w:style>
  <w:style w:styleId="style46" w:type="character">
    <w:name w:val="ListLabel 18"/>
    <w:next w:val="style46"/>
    <w:rPr>
      <w:b/>
      <w:sz w:val="24"/>
      <w:szCs w:val="24"/>
    </w:rPr>
  </w:style>
  <w:style w:styleId="style47" w:type="character">
    <w:name w:val="ListLabel 19"/>
    <w:next w:val="style47"/>
    <w:rPr>
      <w:b w:val="false"/>
      <w:i w:val="false"/>
      <w:color w:val="00000A"/>
      <w:sz w:val="22"/>
      <w:szCs w:val="22"/>
    </w:rPr>
  </w:style>
  <w:style w:styleId="style48" w:type="character">
    <w:name w:val="ListLabel 20"/>
    <w:next w:val="style48"/>
    <w:rPr>
      <w:b/>
      <w:sz w:val="24"/>
      <w:szCs w:val="24"/>
    </w:rPr>
  </w:style>
  <w:style w:styleId="style49" w:type="character">
    <w:name w:val="ListLabel 21"/>
    <w:next w:val="style49"/>
    <w:rPr>
      <w:b w:val="false"/>
      <w:i w:val="false"/>
      <w:color w:val="00000A"/>
      <w:sz w:val="22"/>
      <w:szCs w:val="22"/>
    </w:rPr>
  </w:style>
  <w:style w:styleId="style50" w:type="character">
    <w:name w:val="ListLabel 22"/>
    <w:next w:val="style50"/>
    <w:rPr>
      <w:b/>
      <w:sz w:val="24"/>
      <w:szCs w:val="24"/>
    </w:rPr>
  </w:style>
  <w:style w:styleId="style51" w:type="character">
    <w:name w:val="ListLabel 23"/>
    <w:next w:val="style51"/>
    <w:rPr>
      <w:b w:val="false"/>
      <w:i w:val="false"/>
      <w:color w:val="00000A"/>
      <w:sz w:val="22"/>
      <w:szCs w:val="22"/>
    </w:rPr>
  </w:style>
  <w:style w:styleId="style52" w:type="character">
    <w:name w:val="ListLabel 24"/>
    <w:next w:val="style52"/>
    <w:rPr>
      <w:b/>
      <w:sz w:val="24"/>
      <w:szCs w:val="24"/>
    </w:rPr>
  </w:style>
  <w:style w:styleId="style53" w:type="character">
    <w:name w:val="ListLabel 25"/>
    <w:next w:val="style53"/>
    <w:rPr>
      <w:b w:val="false"/>
      <w:i w:val="false"/>
      <w:color w:val="00000A"/>
      <w:sz w:val="22"/>
      <w:szCs w:val="22"/>
    </w:rPr>
  </w:style>
  <w:style w:styleId="style54" w:type="character">
    <w:name w:val="ListLabel 26"/>
    <w:next w:val="style54"/>
    <w:rPr>
      <w:b/>
      <w:sz w:val="24"/>
      <w:szCs w:val="24"/>
    </w:rPr>
  </w:style>
  <w:style w:styleId="style55" w:type="character">
    <w:name w:val="ListLabel 27"/>
    <w:next w:val="style55"/>
    <w:rPr>
      <w:b w:val="false"/>
      <w:i w:val="false"/>
      <w:color w:val="00000A"/>
      <w:sz w:val="22"/>
      <w:szCs w:val="22"/>
    </w:rPr>
  </w:style>
  <w:style w:styleId="style56" w:type="character">
    <w:name w:val="ListLabel 28"/>
    <w:next w:val="style56"/>
    <w:rPr>
      <w:b/>
      <w:sz w:val="24"/>
      <w:szCs w:val="24"/>
    </w:rPr>
  </w:style>
  <w:style w:styleId="style57" w:type="character">
    <w:name w:val="ListLabel 29"/>
    <w:next w:val="style57"/>
    <w:rPr>
      <w:b w:val="false"/>
      <w:i w:val="false"/>
      <w:color w:val="00000A"/>
      <w:sz w:val="22"/>
      <w:szCs w:val="22"/>
    </w:rPr>
  </w:style>
  <w:style w:styleId="style58" w:type="character">
    <w:name w:val="ListLabel 30"/>
    <w:next w:val="style58"/>
    <w:rPr>
      <w:b/>
      <w:sz w:val="24"/>
      <w:szCs w:val="24"/>
    </w:rPr>
  </w:style>
  <w:style w:styleId="style59" w:type="character">
    <w:name w:val="ListLabel 31"/>
    <w:next w:val="style59"/>
    <w:rPr>
      <w:b w:val="false"/>
      <w:i w:val="false"/>
      <w:color w:val="00000A"/>
      <w:sz w:val="22"/>
      <w:szCs w:val="22"/>
    </w:rPr>
  </w:style>
  <w:style w:styleId="style60" w:type="character">
    <w:name w:val="ListLabel 32"/>
    <w:next w:val="style60"/>
    <w:rPr>
      <w:b/>
      <w:sz w:val="24"/>
      <w:szCs w:val="24"/>
    </w:rPr>
  </w:style>
  <w:style w:styleId="style61" w:type="character">
    <w:name w:val="ListLabel 33"/>
    <w:next w:val="style61"/>
    <w:rPr>
      <w:b w:val="false"/>
      <w:i w:val="false"/>
      <w:color w:val="00000A"/>
      <w:sz w:val="22"/>
      <w:szCs w:val="22"/>
    </w:rPr>
  </w:style>
  <w:style w:styleId="style62" w:type="character">
    <w:name w:val="ListLabel 34"/>
    <w:next w:val="style62"/>
    <w:rPr>
      <w:b/>
      <w:sz w:val="24"/>
      <w:szCs w:val="24"/>
    </w:rPr>
  </w:style>
  <w:style w:styleId="style63" w:type="character">
    <w:name w:val="ListLabel 35"/>
    <w:next w:val="style63"/>
    <w:rPr>
      <w:b w:val="false"/>
      <w:i w:val="false"/>
      <w:color w:val="00000A"/>
      <w:sz w:val="22"/>
      <w:szCs w:val="22"/>
    </w:rPr>
  </w:style>
  <w:style w:styleId="style64" w:type="character">
    <w:name w:val="ListLabel 36"/>
    <w:next w:val="style64"/>
    <w:rPr>
      <w:b/>
      <w:sz w:val="24"/>
      <w:szCs w:val="24"/>
    </w:rPr>
  </w:style>
  <w:style w:styleId="style65" w:type="character">
    <w:name w:val="ListLabel 37"/>
    <w:next w:val="style65"/>
    <w:rPr>
      <w:b w:val="false"/>
      <w:i w:val="false"/>
      <w:color w:val="00000A"/>
      <w:sz w:val="22"/>
      <w:szCs w:val="22"/>
    </w:rPr>
  </w:style>
  <w:style w:styleId="style66" w:type="paragraph">
    <w:name w:val="Título"/>
    <w:basedOn w:val="style0"/>
    <w:next w:val="style67"/>
    <w:pPr>
      <w:keepNext/>
      <w:spacing w:after="120" w:before="240"/>
      <w:contextualSpacing w:val="false"/>
    </w:pPr>
    <w:rPr>
      <w:rFonts w:ascii="Arial" w:cs="Mangal" w:eastAsia="Microsoft YaHei" w:hAnsi="Arial"/>
      <w:sz w:val="28"/>
      <w:szCs w:val="28"/>
    </w:rPr>
  </w:style>
  <w:style w:styleId="style67" w:type="paragraph">
    <w:name w:val="Corpo do texto"/>
    <w:basedOn w:val="style0"/>
    <w:next w:val="style67"/>
    <w:pPr>
      <w:spacing w:after="120" w:before="0"/>
      <w:contextualSpacing w:val="false"/>
    </w:pPr>
    <w:rPr/>
  </w:style>
  <w:style w:styleId="style68" w:type="paragraph">
    <w:name w:val="Lista"/>
    <w:basedOn w:val="style67"/>
    <w:next w:val="style68"/>
    <w:pPr/>
    <w:rPr>
      <w:rFonts w:cs="Mangal"/>
    </w:rPr>
  </w:style>
  <w:style w:styleId="style69" w:type="paragraph">
    <w:name w:val="Legenda"/>
    <w:basedOn w:val="style0"/>
    <w:next w:val="style69"/>
    <w:pPr>
      <w:suppressLineNumbers/>
      <w:spacing w:after="120" w:before="120"/>
      <w:contextualSpacing w:val="false"/>
    </w:pPr>
    <w:rPr>
      <w:rFonts w:cs="Mangal"/>
      <w:i/>
      <w:iCs/>
      <w:sz w:val="24"/>
      <w:szCs w:val="24"/>
    </w:rPr>
  </w:style>
  <w:style w:styleId="style70" w:type="paragraph">
    <w:name w:val="Índice"/>
    <w:basedOn w:val="style0"/>
    <w:next w:val="style70"/>
    <w:pPr>
      <w:suppressLineNumbers/>
    </w:pPr>
    <w:rPr>
      <w:rFonts w:cs="Mangal"/>
    </w:rPr>
  </w:style>
  <w:style w:styleId="style71" w:type="paragraph">
    <w:name w:val="Lista Colorida - Ênfase 11"/>
    <w:basedOn w:val="style0"/>
    <w:next w:val="style71"/>
    <w:pPr>
      <w:spacing w:after="0" w:before="0"/>
      <w:ind w:hanging="0" w:left="720" w:right="0"/>
      <w:contextualSpacing/>
    </w:pPr>
    <w:rPr/>
  </w:style>
  <w:style w:styleId="style72" w:type="paragraph">
    <w:name w:val="Normal (Web)"/>
    <w:basedOn w:val="style0"/>
    <w:next w:val="style72"/>
    <w:pPr>
      <w:spacing w:after="28" w:before="28"/>
      <w:contextualSpacing w:val="false"/>
    </w:pPr>
    <w:rPr>
      <w:rFonts w:ascii="Times New Roman" w:cs="Times New Roman" w:hAnsi="Times New Roman"/>
    </w:rPr>
  </w:style>
  <w:style w:styleId="style73" w:type="paragraph">
    <w:name w:val="Balloon Text"/>
    <w:basedOn w:val="style0"/>
    <w:next w:val="style73"/>
    <w:pPr/>
    <w:rPr>
      <w:rFonts w:ascii="Tahoma" w:hAnsi="Tahoma"/>
      <w:sz w:val="16"/>
      <w:szCs w:val="16"/>
    </w:rPr>
  </w:style>
  <w:style w:styleId="style74" w:type="paragraph">
    <w:name w:val="Nível 2"/>
    <w:basedOn w:val="style0"/>
    <w:next w:val="style74"/>
    <w:pPr>
      <w:spacing w:after="120" w:before="0"/>
      <w:contextualSpacing w:val="false"/>
      <w:jc w:val="both"/>
    </w:pPr>
    <w:rPr>
      <w:rFonts w:cs="Times New Roman"/>
      <w:b/>
      <w:szCs w:val="20"/>
    </w:rPr>
  </w:style>
  <w:style w:styleId="style75" w:type="paragraph">
    <w:name w:val="Grade Colorida - Ênfase 11"/>
    <w:basedOn w:val="style0"/>
    <w:next w:val="style75"/>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eastAsia="Calibri"/>
      <w:i/>
      <w:iCs/>
      <w:color w:val="000000"/>
      <w:sz w:val="20"/>
      <w:lang w:eastAsia="en-US"/>
    </w:rPr>
  </w:style>
  <w:style w:styleId="style76" w:type="paragraph">
    <w:name w:val="List Bullet 5"/>
    <w:basedOn w:val="style0"/>
    <w:next w:val="style76"/>
    <w:pPr>
      <w:spacing w:after="0" w:before="0"/>
      <w:contextualSpacing/>
    </w:pPr>
    <w:rPr/>
  </w:style>
  <w:style w:styleId="style77" w:type="paragraph">
    <w:name w:val="citação 2"/>
    <w:basedOn w:val="style75"/>
    <w:next w:val="style77"/>
    <w:pPr/>
    <w:rPr>
      <w:szCs w:val="20"/>
    </w:rPr>
  </w:style>
  <w:style w:styleId="style78" w:type="paragraph">
    <w:name w:val="Quote"/>
    <w:basedOn w:val="style0"/>
    <w:next w:val="style78"/>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cs="Times New Roman" w:eastAsia="Calibri"/>
      <w:i/>
      <w:iCs/>
      <w:color w:val="000000"/>
      <w:sz w:val="20"/>
      <w:lang w:eastAsia="en-US" w:val="pt-BR"/>
    </w:rPr>
  </w:style>
  <w:style w:styleId="style79" w:type="paragraph">
    <w:name w:val="Cabeçalho"/>
    <w:basedOn w:val="style0"/>
    <w:next w:val="style79"/>
    <w:pPr>
      <w:tabs>
        <w:tab w:leader="none" w:pos="4252" w:val="center"/>
        <w:tab w:leader="none" w:pos="8504" w:val="right"/>
      </w:tabs>
    </w:pPr>
    <w:rPr/>
  </w:style>
  <w:style w:styleId="style80" w:type="paragraph">
    <w:name w:val="Rodapé"/>
    <w:basedOn w:val="style0"/>
    <w:next w:val="style80"/>
    <w:pPr>
      <w:tabs>
        <w:tab w:leader="none" w:pos="4252" w:val="center"/>
        <w:tab w:leader="none" w:pos="8504" w:val="right"/>
      </w:tabs>
    </w:pPr>
    <w:rPr/>
  </w:style>
  <w:style w:styleId="style81" w:type="paragraph">
    <w:name w:val="List Paragraph"/>
    <w:basedOn w:val="style0"/>
    <w:next w:val="style81"/>
    <w:pPr>
      <w:spacing w:after="0" w:before="0"/>
      <w:ind w:hanging="0" w:left="720" w:right="0"/>
      <w:contextualSpacing/>
    </w:pPr>
    <w:rPr/>
  </w:style>
  <w:style w:styleId="style82" w:type="paragraph">
    <w:name w:val="Nivel1"/>
    <w:basedOn w:val="style1"/>
    <w:next w:val="style82"/>
    <w:pPr>
      <w:spacing w:after="120" w:before="480" w:line="276" w:lineRule="auto"/>
      <w:ind w:hanging="357" w:left="357" w:right="0"/>
      <w:contextualSpacing w:val="false"/>
      <w:jc w:val="both"/>
    </w:pPr>
    <w:rPr>
      <w:rFonts w:ascii="Arial" w:cs="Arial" w:hAnsi="Arial"/>
      <w:b/>
      <w:color w:val="000000"/>
      <w:sz w:val="20"/>
      <w:szCs w:val="20"/>
    </w:rPr>
  </w:style>
  <w:style w:styleId="style83" w:type="paragraph">
    <w:name w:val="annotation text"/>
    <w:basedOn w:val="style0"/>
    <w:next w:val="style83"/>
    <w:pPr/>
    <w:rPr/>
  </w:style>
  <w:style w:styleId="style84" w:type="paragraph">
    <w:name w:val="Conteúdo do quadro"/>
    <w:basedOn w:val="style0"/>
    <w:next w:val="style84"/>
    <w:pPr/>
    <w:rPr/>
  </w:style>
  <w:style w:styleId="style85" w:type="paragraph">
    <w:name w:val="Conteúdo da tabela"/>
    <w:basedOn w:val="style0"/>
    <w:next w:val="style85"/>
    <w:pPr>
      <w:suppressLineNumbers/>
    </w:pPr>
    <w:rPr/>
  </w:style>
  <w:style w:styleId="style86" w:type="paragraph">
    <w:name w:val="Título de tabela"/>
    <w:basedOn w:val="style85"/>
    <w:next w:val="style86"/>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D:\adriano.carrijo\Documents\adriano\GT ONs\Modelos fechados\TR compras.dotx</Template>
  <TotalTime>122</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2013-05-01T13:10:00Z</dcterms:created>
  <dc:creator>Adriano</dc:creator>
  <cp:lastModifiedBy>Manoel Paz e Silva Filho</cp:lastModifiedBy>
  <cp:lastPrinted>2017-08-09T11:06:24Z</cp:lastPrinted>
  <dcterms:modified xsi:type="dcterms:W3CDTF">2016-06-10T16:46:00Z</dcterms:modified>
  <cp:revision>8</cp:revision>
  <dc:title>NOTAS EXPLICATIVAS</dc:title>
</cp:coreProperties>
</file>