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668020" cy="6153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68020" cy="615315"/>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jc w:val="center"/>
        <w:rPr/>
      </w:pPr>
      <w:r>
        <w:rPr/>
      </w:r>
    </w:p>
    <w:p>
      <w:pPr>
        <w:pStyle w:val="style0"/>
        <w:jc w:val="center"/>
        <w:rPr>
          <w:rFonts w:cs="Arial"/>
          <w:b/>
          <w:bCs/>
          <w:color w:val="000000"/>
          <w:sz w:val="20"/>
          <w:szCs w:val="20"/>
        </w:rPr>
      </w:pPr>
      <w:r>
        <w:rPr>
          <w:rFonts w:cs="Arial"/>
          <w:b/>
          <w:bCs/>
          <w:color w:val="000000"/>
          <w:sz w:val="20"/>
          <w:szCs w:val="20"/>
        </w:rPr>
        <w:t>TERMO DE REFERÊNCIA</w:t>
      </w:r>
    </w:p>
    <w:p>
      <w:pPr>
        <w:pStyle w:val="style0"/>
        <w:widowControl/>
        <w:suppressAutoHyphens w:val="true"/>
        <w:ind w:hanging="0" w:left="73" w:right="0"/>
        <w:jc w:val="center"/>
        <w:rPr>
          <w:rFonts w:cs="Arial"/>
          <w:b/>
          <w:bCs/>
          <w:sz w:val="20"/>
          <w:szCs w:val="20"/>
        </w:rPr>
      </w:pPr>
      <w:r>
        <w:rPr>
          <w:rFonts w:cs="Arial"/>
          <w:b/>
          <w:bCs/>
          <w:sz w:val="20"/>
          <w:szCs w:val="20"/>
        </w:rPr>
        <w:t>Sistema de Registro de Preços</w:t>
      </w:r>
    </w:p>
    <w:p>
      <w:pPr>
        <w:pStyle w:val="style0"/>
        <w:jc w:val="center"/>
        <w:rPr>
          <w:rFonts w:cs="Arial"/>
          <w:bCs/>
          <w:color w:val="000000"/>
          <w:sz w:val="20"/>
          <w:szCs w:val="20"/>
        </w:rPr>
      </w:pPr>
      <w:r>
        <w:rPr>
          <w:rFonts w:cs="Arial"/>
          <w:bCs/>
          <w:color w:val="000000"/>
          <w:sz w:val="20"/>
          <w:szCs w:val="20"/>
        </w:rPr>
        <w:t>(Processo Administrativo n.° 23197.031063.2016-29)</w:t>
      </w:r>
    </w:p>
    <w:p>
      <w:pPr>
        <w:pStyle w:val="style0"/>
        <w:spacing w:after="120" w:before="0" w:line="276" w:lineRule="auto"/>
        <w:ind w:hanging="0" w:left="0" w:right="-15"/>
        <w:contextualSpacing w:val="false"/>
        <w:jc w:val="center"/>
        <w:rPr>
          <w:rFonts w:cs="Arial"/>
          <w:b/>
          <w:bCs/>
          <w:color w:val="000000"/>
          <w:sz w:val="20"/>
          <w:szCs w:val="20"/>
        </w:rPr>
      </w:pPr>
      <w:r>
        <w:rPr>
          <w:rFonts w:cs="Arial"/>
          <w:b/>
          <w:bCs/>
          <w:color w:val="000000"/>
          <w:sz w:val="20"/>
          <w:szCs w:val="20"/>
        </w:rPr>
      </w:r>
    </w:p>
    <w:p>
      <w:pPr>
        <w:pStyle w:val="style0"/>
        <w:numPr>
          <w:ilvl w:val="0"/>
          <w:numId w:val="1"/>
        </w:numPr>
        <w:spacing w:after="120" w:before="0" w:line="276" w:lineRule="auto"/>
        <w:ind w:hanging="360" w:left="360" w:right="-15"/>
        <w:contextualSpacing w:val="false"/>
        <w:jc w:val="both"/>
        <w:rPr>
          <w:rFonts w:ascii="Calibri" w:cs="Arial" w:hAnsi="Calibri"/>
          <w:b/>
          <w:i w:val="false"/>
          <w:iCs w:val="false"/>
          <w:color w:val="000000"/>
          <w:sz w:val="22"/>
          <w:szCs w:val="22"/>
        </w:rPr>
      </w:pPr>
      <w:r>
        <w:rPr>
          <w:rFonts w:ascii="Calibri" w:cs="Arial" w:hAnsi="Calibri"/>
          <w:b/>
          <w:i w:val="false"/>
          <w:iCs w:val="false"/>
          <w:color w:val="000000"/>
          <w:sz w:val="22"/>
          <w:szCs w:val="22"/>
        </w:rPr>
        <w:t>DO OBJETO</w:t>
      </w:r>
    </w:p>
    <w:p>
      <w:pPr>
        <w:pStyle w:val="style0"/>
        <w:widowControl/>
        <w:numPr>
          <w:ilvl w:val="1"/>
          <w:numId w:val="1"/>
        </w:numPr>
        <w:suppressAutoHyphens w:val="true"/>
        <w:spacing w:after="120" w:before="120" w:line="276" w:lineRule="auto"/>
        <w:contextualSpacing w:val="false"/>
        <w:jc w:val="both"/>
        <w:rPr>
          <w:rFonts w:ascii="Calibri" w:cs="Arial" w:hAnsi="Calibri"/>
          <w:i w:val="false"/>
          <w:iCs w:val="false"/>
          <w:color w:val="000000"/>
          <w:sz w:val="22"/>
          <w:szCs w:val="22"/>
        </w:rPr>
      </w:pPr>
      <w:r>
        <w:rPr>
          <w:rFonts w:ascii="Calibri" w:cs="Arial" w:hAnsi="Calibri"/>
          <w:i w:val="false"/>
          <w:iCs w:val="false"/>
          <w:color w:val="000000"/>
          <w:sz w:val="22"/>
          <w:szCs w:val="22"/>
        </w:rPr>
        <w:t xml:space="preserve">Aquisição de </w:t>
      </w:r>
      <w:bookmarkStart w:id="0" w:name="__DdeLink__42611_122964224"/>
      <w:bookmarkStart w:id="1" w:name="__DdeLink__3179_836210115"/>
      <w:r>
        <w:rPr>
          <w:rFonts w:ascii="Liberation Serif" w:cs="Arial" w:hAnsi="Liberation Serif"/>
          <w:b/>
          <w:bCs/>
          <w:i w:val="false"/>
          <w:iCs w:val="false"/>
          <w:color w:val="000000"/>
          <w:sz w:val="22"/>
          <w:szCs w:val="22"/>
        </w:rPr>
        <w:t>AQUISIÇÃO DE SUPRIMENTOS DE IMPRESSÃO</w:t>
      </w:r>
      <w:bookmarkEnd w:id="0"/>
      <w:bookmarkEnd w:id="1"/>
      <w:r>
        <w:rPr>
          <w:rFonts w:ascii="Calibri" w:cs="Arial" w:hAnsi="Calibri"/>
          <w:b/>
          <w:i w:val="false"/>
          <w:iCs w:val="false"/>
          <w:color w:val="000000"/>
          <w:sz w:val="22"/>
          <w:szCs w:val="22"/>
        </w:rPr>
        <w:t>,</w:t>
      </w:r>
      <w:r>
        <w:rPr>
          <w:rFonts w:ascii="Calibri" w:cs="Arial" w:hAnsi="Calibri"/>
          <w:i w:val="false"/>
          <w:iCs w:val="false"/>
          <w:color w:val="000000"/>
          <w:sz w:val="22"/>
          <w:szCs w:val="22"/>
        </w:rPr>
        <w:t xml:space="preserve"> conforme condições, quantidades, exigências e estimativas, inclusive as encaminhadas pelos órgãos e entidades participantes estabelecidas neste instrumento:</w:t>
      </w:r>
    </w:p>
    <w:tbl>
      <w:tblPr>
        <w:jc w:val="left"/>
        <w:tblInd w:type="dxa" w:w="32"/>
        <w:tblBorders>
          <w:top w:color="000001" w:space="0" w:sz="2" w:val="single"/>
          <w:left w:color="000001" w:space="0" w:sz="2" w:val="single"/>
          <w:bottom w:color="000001" w:space="0" w:sz="2" w:val="single"/>
          <w:insideH w:color="000001" w:space="0" w:sz="2" w:val="single"/>
          <w:right w:val="nil"/>
          <w:insideV w:val="nil"/>
        </w:tblBorders>
        <w:tblCellMar>
          <w:top w:type="dxa" w:w="55"/>
          <w:left w:type="dxa" w:w="24"/>
          <w:bottom w:type="dxa" w:w="55"/>
          <w:right w:type="dxa" w:w="55"/>
        </w:tblCellMar>
      </w:tblPr>
      <w:tblGrid>
        <w:gridCol w:w="505"/>
        <w:gridCol w:w="645"/>
        <w:gridCol w:w="517"/>
        <w:gridCol w:w="624"/>
        <w:gridCol w:w="573"/>
        <w:gridCol w:w="3847"/>
        <w:gridCol w:w="950"/>
        <w:gridCol w:w="1402"/>
      </w:tblGrid>
      <w:tr>
        <w:trPr>
          <w:trHeight w:hRule="atLeast" w:val="420"/>
          <w:cantSplit w:val="false"/>
        </w:trPr>
        <w:tc>
          <w:tcPr>
            <w:tcW w:type="dxa" w:w="505"/>
            <w:tcBorders>
              <w:top w:color="000001" w:space="0" w:sz="2" w:val="single"/>
              <w:left w:color="000001" w:space="0" w:sz="2" w:val="single"/>
              <w:bottom w:color="000001" w:space="0" w:sz="2" w:val="single"/>
              <w:right w:val="nil"/>
            </w:tcBorders>
            <w:shd w:fill="CCCCCC" w:val="clear"/>
            <w:tcMar>
              <w:left w:type="dxa" w:w="24"/>
            </w:tcMar>
            <w:vAlign w:val="center"/>
          </w:tcPr>
          <w:p>
            <w:pPr>
              <w:pStyle w:val="style83"/>
              <w:jc w:val="center"/>
              <w:rPr>
                <w:rFonts w:ascii="Liberation Serif" w:hAnsi="Liberation Serif"/>
                <w:b/>
                <w:bCs/>
                <w:sz w:val="18"/>
                <w:szCs w:val="18"/>
              </w:rPr>
            </w:pPr>
            <w:r>
              <w:rPr>
                <w:rFonts w:ascii="Liberation Serif" w:hAnsi="Liberation Serif"/>
                <w:b/>
                <w:bCs/>
                <w:sz w:val="18"/>
                <w:szCs w:val="18"/>
              </w:rPr>
              <w:t>Item</w:t>
            </w:r>
          </w:p>
        </w:tc>
        <w:tc>
          <w:tcPr>
            <w:tcW w:type="dxa" w:w="645"/>
            <w:tcBorders>
              <w:top w:color="000001" w:space="0" w:sz="2" w:val="single"/>
              <w:left w:color="000001" w:space="0" w:sz="2" w:val="single"/>
              <w:bottom w:color="000001" w:space="0" w:sz="2" w:val="single"/>
              <w:right w:val="nil"/>
            </w:tcBorders>
            <w:shd w:fill="CCCCCC" w:val="clear"/>
            <w:tcMar>
              <w:left w:type="dxa" w:w="24"/>
            </w:tcMar>
            <w:vAlign w:val="center"/>
          </w:tcPr>
          <w:p>
            <w:pPr>
              <w:pStyle w:val="style83"/>
              <w:jc w:val="center"/>
              <w:rPr>
                <w:rFonts w:ascii="Liberation Serif" w:hAnsi="Liberation Serif"/>
                <w:b/>
                <w:bCs/>
                <w:sz w:val="18"/>
                <w:szCs w:val="18"/>
              </w:rPr>
            </w:pPr>
            <w:r>
              <w:rPr>
                <w:rFonts w:ascii="Liberation Serif" w:hAnsi="Liberation Serif"/>
                <w:b/>
                <w:bCs/>
                <w:sz w:val="18"/>
                <w:szCs w:val="18"/>
              </w:rPr>
              <w:t>CATMAT</w:t>
            </w:r>
          </w:p>
        </w:tc>
        <w:tc>
          <w:tcPr>
            <w:tcW w:type="dxa" w:w="517"/>
            <w:tcBorders>
              <w:top w:color="000001" w:space="0" w:sz="2" w:val="single"/>
              <w:left w:color="000001" w:space="0" w:sz="2" w:val="single"/>
              <w:bottom w:color="000001" w:space="0" w:sz="2" w:val="single"/>
              <w:right w:val="nil"/>
            </w:tcBorders>
            <w:shd w:fill="CCCCCC" w:val="clear"/>
            <w:tcMar>
              <w:left w:type="dxa" w:w="24"/>
            </w:tcMar>
            <w:vAlign w:val="center"/>
          </w:tcPr>
          <w:p>
            <w:pPr>
              <w:pStyle w:val="style83"/>
              <w:jc w:val="center"/>
              <w:rPr>
                <w:rFonts w:ascii="Liberation Serif" w:hAnsi="Liberation Serif"/>
                <w:b/>
                <w:bCs/>
                <w:sz w:val="18"/>
                <w:szCs w:val="18"/>
              </w:rPr>
            </w:pPr>
            <w:r>
              <w:rPr>
                <w:rFonts w:ascii="Liberation Serif" w:hAnsi="Liberation Serif"/>
                <w:b/>
                <w:bCs/>
                <w:sz w:val="18"/>
                <w:szCs w:val="18"/>
              </w:rPr>
              <w:t>Unid.</w:t>
            </w:r>
          </w:p>
        </w:tc>
        <w:tc>
          <w:tcPr>
            <w:tcW w:type="dxa" w:w="624"/>
            <w:tcBorders>
              <w:top w:color="000001" w:space="0" w:sz="2" w:val="single"/>
              <w:left w:color="000001" w:space="0" w:sz="2" w:val="single"/>
              <w:bottom w:color="000001" w:space="0" w:sz="2" w:val="single"/>
              <w:right w:val="nil"/>
            </w:tcBorders>
            <w:shd w:fill="CCCCCC" w:val="clear"/>
            <w:tcMar>
              <w:left w:type="dxa" w:w="24"/>
            </w:tcMar>
            <w:vAlign w:val="center"/>
          </w:tcPr>
          <w:p>
            <w:pPr>
              <w:pStyle w:val="style83"/>
              <w:jc w:val="center"/>
              <w:rPr>
                <w:rFonts w:ascii="Liberation Serif" w:hAnsi="Liberation Serif"/>
                <w:b/>
                <w:bCs/>
                <w:sz w:val="18"/>
                <w:szCs w:val="18"/>
              </w:rPr>
            </w:pPr>
            <w:r>
              <w:rPr>
                <w:rFonts w:ascii="Liberation Serif" w:hAnsi="Liberation Serif"/>
                <w:b/>
                <w:bCs/>
                <w:sz w:val="18"/>
                <w:szCs w:val="18"/>
              </w:rPr>
              <w:t>Quant</w:t>
            </w:r>
          </w:p>
        </w:tc>
        <w:tc>
          <w:tcPr>
            <w:tcW w:type="dxa" w:w="573"/>
            <w:tcBorders>
              <w:top w:color="000001" w:space="0" w:sz="2" w:val="single"/>
              <w:left w:color="000001" w:space="0" w:sz="2" w:val="single"/>
              <w:bottom w:color="000001" w:space="0" w:sz="2" w:val="single"/>
              <w:right w:val="nil"/>
            </w:tcBorders>
            <w:shd w:fill="CCCCCC" w:val="clear"/>
            <w:tcMar>
              <w:left w:type="dxa" w:w="24"/>
            </w:tcMar>
            <w:vAlign w:val="center"/>
          </w:tcPr>
          <w:p>
            <w:pPr>
              <w:pStyle w:val="style83"/>
              <w:jc w:val="center"/>
              <w:rPr>
                <w:b/>
                <w:bCs/>
                <w:sz w:val="18"/>
                <w:szCs w:val="18"/>
              </w:rPr>
            </w:pPr>
            <w:r>
              <w:rPr>
                <w:b/>
                <w:bCs/>
                <w:sz w:val="18"/>
                <w:szCs w:val="18"/>
              </w:rPr>
              <w:t>Quant Min</w:t>
            </w:r>
          </w:p>
        </w:tc>
        <w:tc>
          <w:tcPr>
            <w:tcW w:type="dxa" w:w="3847"/>
            <w:tcBorders>
              <w:top w:color="000001" w:space="0" w:sz="2" w:val="single"/>
              <w:left w:color="000001" w:space="0" w:sz="2" w:val="single"/>
              <w:bottom w:color="000001" w:space="0" w:sz="2" w:val="single"/>
              <w:right w:val="nil"/>
            </w:tcBorders>
            <w:shd w:fill="CCCCCC" w:val="clear"/>
            <w:tcMar>
              <w:left w:type="dxa" w:w="24"/>
            </w:tcMar>
            <w:vAlign w:val="center"/>
          </w:tcPr>
          <w:p>
            <w:pPr>
              <w:pStyle w:val="style83"/>
              <w:jc w:val="center"/>
              <w:rPr>
                <w:rFonts w:ascii="Liberation Serif" w:hAnsi="Liberation Serif"/>
                <w:b/>
                <w:bCs/>
                <w:sz w:val="18"/>
                <w:szCs w:val="18"/>
              </w:rPr>
            </w:pPr>
            <w:r>
              <w:rPr>
                <w:rFonts w:ascii="Liberation Serif" w:hAnsi="Liberation Serif"/>
                <w:b/>
                <w:bCs/>
                <w:sz w:val="18"/>
                <w:szCs w:val="18"/>
              </w:rPr>
              <w:t>Especificação Detalhada</w:t>
            </w:r>
          </w:p>
        </w:tc>
        <w:tc>
          <w:tcPr>
            <w:tcW w:type="dxa" w:w="950"/>
            <w:tcBorders>
              <w:top w:color="000001" w:space="0" w:sz="2" w:val="single"/>
              <w:left w:color="000001" w:space="0" w:sz="2" w:val="single"/>
              <w:bottom w:color="000001" w:space="0" w:sz="2" w:val="single"/>
              <w:right w:val="nil"/>
            </w:tcBorders>
            <w:shd w:fill="CCCCCC" w:val="clear"/>
            <w:tcMar>
              <w:left w:type="dxa" w:w="24"/>
            </w:tcMar>
            <w:vAlign w:val="center"/>
          </w:tcPr>
          <w:p>
            <w:pPr>
              <w:pStyle w:val="style83"/>
              <w:jc w:val="center"/>
              <w:rPr>
                <w:rFonts w:ascii="Liberation Serif" w:hAnsi="Liberation Serif"/>
                <w:b/>
                <w:bCs/>
                <w:sz w:val="18"/>
                <w:szCs w:val="18"/>
              </w:rPr>
            </w:pPr>
            <w:r>
              <w:rPr>
                <w:rFonts w:ascii="Liberation Serif" w:hAnsi="Liberation Serif"/>
                <w:b/>
                <w:bCs/>
                <w:sz w:val="18"/>
                <w:szCs w:val="18"/>
              </w:rPr>
              <w:t>V. Unit.</w:t>
            </w:r>
          </w:p>
        </w:tc>
        <w:tc>
          <w:tcPr>
            <w:tcW w:type="dxa" w:w="1402"/>
            <w:tcBorders>
              <w:top w:color="000001" w:space="0" w:sz="2" w:val="single"/>
              <w:left w:color="000001" w:space="0" w:sz="2" w:val="single"/>
              <w:bottom w:color="000001" w:space="0" w:sz="2" w:val="single"/>
              <w:right w:color="000001" w:space="0" w:sz="2" w:val="single"/>
            </w:tcBorders>
            <w:shd w:fill="CCCCCC" w:val="clear"/>
            <w:tcMar>
              <w:left w:type="dxa" w:w="24"/>
            </w:tcMar>
            <w:vAlign w:val="center"/>
          </w:tcPr>
          <w:p>
            <w:pPr>
              <w:pStyle w:val="style83"/>
              <w:jc w:val="center"/>
              <w:rPr>
                <w:rFonts w:ascii="Liberation Serif" w:hAnsi="Liberation Serif"/>
                <w:b/>
                <w:bCs/>
                <w:sz w:val="18"/>
                <w:szCs w:val="18"/>
              </w:rPr>
            </w:pPr>
            <w:r>
              <w:rPr>
                <w:rFonts w:ascii="Liberation Serif" w:hAnsi="Liberation Serif"/>
                <w:b/>
                <w:bCs/>
                <w:sz w:val="18"/>
                <w:szCs w:val="18"/>
              </w:rPr>
              <w:t>V. Total</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426542</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MLT-D203U ou compatível, rendimento 15.000 cópias com 5% de cobertura. Impressora Samsung SL-M4070FR / ProXpress M4070FR: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536,14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541.501,40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63</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Unidade de Imagem MLT-R204 ou compatível , Cilindro, rendimento 30.000 páginas.Impressora Samsung SL-M4070FR / ProXpress M4070FR: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311,14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19.601,82</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396545</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MLT-D208L ou compatível, rendimento 10.000 cópias com 5% de cobertura. Impressora Samsung SCX-5835fn: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321,12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3.211,20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408645</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Unidade fusora, código JC9100925A ou compatível Impressora Samsung SCX-5835fn</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763,23</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19.080,75</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423873</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Unidade de imagem (cartucho de cilindro) MLT-R307 ou compatível. Impressora Samsung ML-4510ND: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655,16</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26.206,40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MLT-D307E ou compatível, rendimento 20.000 cópias Impressora Samsung ML-4510ND: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624,70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24.988,00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Unidade Fusora  JC91-01029H 110V ou compatível,   Impressora Samsung ML-4510ND: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917,97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18.539,40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8</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MLT-D205E ou compatível, rendimento de 10.000 cópias com 5% de cobertura. Impressoras Samsung SCX-5637FR e ML-3710ND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442,33</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24.328,15</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9</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tonner CLT-C506L/XAZ ou compatível, cor ciano. Impressora Samsung CLX-6260FR: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500,14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1.000,28</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10</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tonner CLT-M506L/XAZ ou compatível, cor magenta. Impressora Samsung CLX-6260FR: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612,66</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1.22 5,32</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11</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tonner CLT-Y506L/XAZ ou compatível, cor amarelo. Impressora Samsung CLX-6260FR: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673,77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1.347,54</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12</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tonner CLT-K506L/XAZ ou compatível, cor preto. Impressora Samsung CLX-6260FR: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645,45</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1.290,90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13</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388617</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276</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CE505X ou compatível, rendimento 6.500 cópias com 5% de cobertura. Impressora HP Laserjet P2055DN: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624,61</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172.392,36</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14</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355570</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Q7551X ou compatível, rendimento 13.000 cópias com 5% de cobertura. Impressora HP Laserjet P3005N: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648,94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3.244,70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15</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392016</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64</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HP CE285A ou compatível, rendimento 1.600 cópias com 5% de cobertura. Impressora HP Laserjet Pro M1212nf: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272,77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17.457,28</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16</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386154</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12</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CB436A ou compatível, rendimento 2.000 cópias com 5% de cobertura. Impressoras HP Laserjet M1522N e M1120 MFP: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254,73</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3.056,76</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17</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417018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131A ou compatível, cor ciano, código CF211A, rendimento 1.800 cópias com 5% de cobertura. Impressora HP Laserjet Pro 200 color MFP: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360,54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3.605,40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18</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417020</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131A ou compatível, cor magenta, código CF213A, rendimento 1.800 cópias com 5% de cobertura. Impressora HP Laserjet Pro 200 color MFP: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358,04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3.580,40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19</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417019</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131A ou compatível, cor amarelo, código CF212A, rendimento 1.800 cópias com 5% de cobertura. Impressora HP Laserjet Pro 200 color MFP: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359,29</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3.592,90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20</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432356</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131A ou compatível, cor preto, código CF210A, rendimento 1.600 cópias com 5% de cobertura. Impressora HP Laserjet Pro 200 color MFP: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446,57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22.328,50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21</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84</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CN626AM ou compatível, cor ciano. Impressora HP Pro X476DW: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508,96</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42.752,64</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22</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84</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CN627AM ou compatível, cor magenta. Impressora HP Pro X476DW: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484,12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40.666,08</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23</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84</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CN628AM ou compatível, cor amarelo. Impressora HP Pro X476DW: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509,38</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42.787,92</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24</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114</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CN625AM ou compatível, cor preto. Impressora HP Pro X476DW: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513,50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58.539,00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25</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325546</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34</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C4911A ou compatível, cor ciano. Impressora HP Designjet 500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354,22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12.043,48</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26</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312022</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28</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C4912A ou compatível, cor magenta. Impressora HP Designjet 500: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333,29</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9.332,12</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27</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312023</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33</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C4913A ou compatível, cor amarelo. Impressora HP Designjet 500: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375,27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12.383,91</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28</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344965</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53</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C4844A ou compatível, cor preto. Impressora HP Designjet 500: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242,51</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12.853,03</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29</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CB336WB ou Compatível, cor preto, não deve ser da linha para uso diário. Impressora HP Deskjet D4260: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175,14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6.129,90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30</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CB338WB ou compatível, cor colorido, não deve ser da linha para uso diário. Impressora HP Deskjet D4260: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245,65</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8.597,75</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31</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142</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106R01487 ou compatível, rendimento 5.000 cópias com 5% de cobertura. Impressora Xerox Workcentre 3210/3220: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376,30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53.434,60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32</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430024</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toner 106R02310 ou compatível, rendimento 5.000 cópias com 5% de cobertura. Impressora Xerox Workcentre 3315 PN: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142,54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14.254,00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33</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345139</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106R01218 ou compatível, cor ciano, rendimento 12.000 cópias com 5% de cobertura. Impressora Xerox Phaser 6360DN: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1.935,00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19.350,00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34</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345141</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106R01219 ou compatível, cor magenta, rendimento 12.000 cópias com 5% de cobertura. Impressora Xerox Phaser 6360DN: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1.935,00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19.350,00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35</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345140</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106R01220 ou compatível, cor amarelo, rendimento 12.000 cópias com 5% de cobertura. Impressora Xerox Phaser 6360DN: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2.050,00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20.500,00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36</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345142</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106R01221 ou compátivel, cor preto, rendimento 18.000 cópias com 5% de cobertura. Impressora Xerox Phaser 6360DN: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1.044,96</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15.674,40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37</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333764</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Unidade de imagem 108R00645 – 35k ou compatível Impressora Xerox Phaser 6360DN: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4.135,00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41.350,00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38</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337376</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 </w:t>
            </w:r>
            <w:r>
              <w:rPr>
                <w:rFonts w:ascii="Liberation Serif" w:hAnsi="Liberation Serif"/>
                <w:sz w:val="18"/>
                <w:szCs w:val="18"/>
              </w:rPr>
              <w:t>Rolo de transferência 108R0064 – 35k ou Impressora Xerox Phaser 6360DN: compátivel</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715,26</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7.152,60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39</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345161</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Impressora Xerox Phaser 6360DN: Fusor 115R00055 110v – 100k</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2.350,00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23.500,00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40</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24018SL  ou compatível capacidade de 2.500 páginas padrão Valor de Rendimento Declarado em Conformidade com Norma ISO/IEC 19752. Impressora Lexmark E230, E232, E234, E240, E330, E340, E332, E342: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204,77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2.047,70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41</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T65X ou compatível, rendimento 25.000 cópias com 5% de cobertura. Impressora Lexmark T650n: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718,22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35.911,00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42</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389844</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X264H11G ou compatível, rendimento 9.000 cópias com 5% de cobertura. Impressora Lexmark X364DN, X264DN: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225,49</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22.549,00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43</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9</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Impressora Lexmark T654dn: kit manutenção original Lexmark T654dn. O kit deve conter os seguintes itens: Fusor, Rolo de carga, Rolo de transferência, Roletes de tração.</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887,98</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7.991,82</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44</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ans" w:hAnsi="Liberation Sans"/>
                <w:b w:val="false"/>
                <w:i w:val="false"/>
                <w:strike w:val="false"/>
                <w:dstrike w:val="false"/>
                <w:outline w:val="false"/>
                <w:shadow w:val="false"/>
                <w:color w:val="111111"/>
                <w:sz w:val="18"/>
                <w:szCs w:val="18"/>
                <w:u w:val="none"/>
                <w:em w:val="none"/>
              </w:rPr>
            </w:pPr>
            <w:r>
              <w:rPr>
                <w:rFonts w:ascii="Liberation Sans" w:hAnsi="Liberation Sans"/>
                <w:b w:val="false"/>
                <w:i w:val="false"/>
                <w:strike w:val="false"/>
                <w:dstrike w:val="false"/>
                <w:outline w:val="false"/>
                <w:shadow w:val="false"/>
                <w:color w:val="111111"/>
                <w:sz w:val="18"/>
                <w:szCs w:val="18"/>
                <w:u w:val="none"/>
                <w:em w:val="none"/>
              </w:rPr>
              <w:t xml:space="preserve">Cartucho de </w:t>
            </w:r>
            <w:r>
              <w:rPr>
                <w:rFonts w:ascii="FreeSans" w:hAnsi="FreeSans"/>
                <w:b w:val="false"/>
                <w:i w:val="false"/>
                <w:strike w:val="false"/>
                <w:dstrike w:val="false"/>
                <w:outline w:val="false"/>
                <w:shadow w:val="false"/>
                <w:color w:val="111111"/>
                <w:sz w:val="18"/>
                <w:szCs w:val="18"/>
                <w:u w:val="none"/>
                <w:em w:val="none"/>
              </w:rPr>
              <w:t>toner T65411L ou compatível,</w:t>
            </w:r>
            <w:r>
              <w:rPr>
                <w:rFonts w:ascii="Liberation Sans" w:hAnsi="Liberation Sans"/>
                <w:b w:val="false"/>
                <w:i w:val="false"/>
                <w:strike w:val="false"/>
                <w:dstrike w:val="false"/>
                <w:outline w:val="false"/>
                <w:shadow w:val="false"/>
                <w:color w:val="111111"/>
                <w:sz w:val="18"/>
                <w:szCs w:val="18"/>
                <w:u w:val="none"/>
                <w:em w:val="none"/>
              </w:rPr>
              <w:t xml:space="preserve"> Impressora Lexmark T654dn: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1.292,71</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64.635,50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45</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386239</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cilindro DR620 ou compatível. Impressora Brother HL-5350DN: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409,23</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12.276,90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46</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TN-750 ou compatível. Impressora Brother HL-5452DN e DCP-8152DN: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97,62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9.762,00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47</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cilindro DR-3302/DR-750, para cartucho de toner TN-3382/TN-750 ou compatível. Impressoras Brother HL-5452DN e DCP-8152DN: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382,80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3.828,00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48</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Cilindro de imagem DR-3302/DR-750 ou compatível. Impressora Brother HL-5452DN e DCP-8152DN: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50,37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503,70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49</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90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Brother TN-3392 ou compatível. Impressora Brother DCP-8157DN: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165,24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14.871,60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50</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58</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cilindro DR3302 ou compatível, rendimento médio de 30.000 páginas. impressora Brother DCP8157-DN: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341,64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19.815,12</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51</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70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Cilindro DR3302, rendimento médio 3 ciclos. Impressora Brother DCP-8157DN: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41,33</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2.893,10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52</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33</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Película do fusor Brother original, código da unidade fusora LU9215001. Impressora Brother DCP-8157DN: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235,55</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7.773,15</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53</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38</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Rolo de pressão Brother original.  Impressora Brother DCP-8157DN: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165,37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6.284,06</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54</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12</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Unidade fusora Brother 110V, código LJB693001 ou compatível. Impressora Brother DCP-8157DN: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606,52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7.278,24</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55</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Graxa de silicone transparente translúcida para uso em fusão de impressoras, películas fusoras e eixos de impressão, embalagem com 20 gramas.</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38,02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760,40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56</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406361</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TN315C ou compatível, cor ciano, quantidade de pó 150g, rendimento 1.500 cópias com 5% de cobertura. Impressora Brother MFC-9460CDN: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352,84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5.292,60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57</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406362</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TN315M ou compatível, cor magenta, quantidade de pó 150g, rendimento 1.500 cópias com 5% de cobertura. Impressora Brother MFC-9460CDN: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595,67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8.935,05</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58</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406363</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TN315Y ou compatível, cor amarelo, quantidade de pó 150g, rendimento 1.500 cópias com 5% de cobertura. Impressora Brother MFC-9460CDN: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352,84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5.292,60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59</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406360</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TN315BK ou compatível, cor preto, quantidade de pó 150g, rendimento 1.500 cópias com 5% de cobertura. Impressora Brother MFC-9460CDN: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445,80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6.687,00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60</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cilindro DR310CL rendimento 25.000 ou compatível. Impressora Brother MFC-9460CDN: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1.251,27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18.769,05</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61</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LC-79C ou compatível, cor ciano. Impressora Brother MFC-J6710DW: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79,18</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1.583,60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62</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LC-79M ou compatível, cor magenta Impressora Brother MFC-J6710DW: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78,74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1.574,80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63</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LC-79Y ou compatível, cor amarelo. Impressora Brother MFC-J6710DW: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77,22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1.544,40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64</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89478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LC-79BK ou compatível, cor preto. Impressora Brother MFC-J6710DW: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123,62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3.090,50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65</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LC-105C ou compatível. Rendimento 1200 páginas. Impressorra Brother MFC-J4310DW,MFC-J4410DW,MFC-J4510DW,MFC-J4610DW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65,47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2.291,45</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66</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LC-105M ou compatível Magenta. Rendimento 1200 páginas. Impressora Brother MFC-J4310DW, MFC-J4410DW, MFC-J4510DW e MFC-J4610DW: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38,38</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1.343,30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67</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 </w:t>
            </w:r>
            <w:r>
              <w:rPr>
                <w:rFonts w:ascii="Liberation Serif" w:hAnsi="Liberation Serif"/>
                <w:sz w:val="18"/>
                <w:szCs w:val="18"/>
              </w:rPr>
              <w:t>Cartucho de tinta LC-105Y ou compatível, cor amarelo, rendimento 1200 páginas. Impressora Brother MFC-J4310DW, MFC-J4410DW, MFC-J4510DW e MFC-J4610DW:</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63,74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2.230,90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68</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40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tinta LC-109BK ou compatível, cor preto, rendimento 2400 páginas. Impressoras Brother MFC-J6520DW, MFC-J6720DW e MFC-J6920DW: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243,67</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9.746,80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69</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TN319C ou compatível, cor ciano, rendimento 6.000 impressões. Impressora Brother MFC-L8850CDW: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501,44</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5.014,40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70</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TN319M ou compatível, cor magenta, rendimento 6.000 impressões. Impressora Brother MFC-L8850CDW: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523,22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5.232,20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71</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TN319Y ou compatível, cor amarelo, rendimento 6.000 impressões. Impressora Brother MFC-L8850CDW: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467,62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4.676,20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72</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toner TN319BK ou compatível, cor preto, rendimento 6.000 impressões. Impressora Brother MFC-L8850CDW: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170,55</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3.411,00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73</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 xml:space="preserve">Cartucho de cilindro DR311CL ou compatível. Impressora Brother MFC-L8850CDW:  </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679,70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3.398,50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74</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150541</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Ribbon – Fita de impressão policromático com resina preto revestimento overloy (colorida) novo, para impressora de termo transferência evolis dualys 3 referencia R3011, do tipo filme de submação YMCKO (5 painéis) com capacidade para 200 impressões.</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187,72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20.649,20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75</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150541</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17</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Fita de impressão colorida/preto (Ribbon) totalmente compatível e do mesmo fabricante da impressora Datacard SD360, com capacidade mínima de impressão 350 cartões, incluindo Kit de limpeza. Garantia mínima de 12 meses</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550,10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9.351,70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76</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150541</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161</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Ribbon de resina para impressão de etiqueta de patrimônio, fita de impressão preto de resina tamanho 110mm x 91 m, para impressão de etiquetas de patrimônio na impressora ARGOX OS214PLUS</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23,26</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3.744,86</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r>
          </w:p>
          <w:p>
            <w:pPr>
              <w:pStyle w:val="style0"/>
              <w:jc w:val="center"/>
              <w:rPr>
                <w:sz w:val="18"/>
                <w:szCs w:val="18"/>
              </w:rPr>
            </w:pPr>
            <w:r>
              <w:rPr>
                <w:sz w:val="18"/>
                <w:szCs w:val="18"/>
              </w:rPr>
              <w:t>77</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r>
          </w:p>
          <w:p>
            <w:pPr>
              <w:pStyle w:val="style0"/>
              <w:jc w:val="center"/>
              <w:rPr>
                <w:rFonts w:ascii="Liberation Serif" w:hAnsi="Liberation Serif"/>
                <w:sz w:val="18"/>
                <w:szCs w:val="18"/>
              </w:rPr>
            </w:pPr>
            <w:r>
              <w:rPr>
                <w:rFonts w:ascii="Liberation Serif" w:hAnsi="Liberation Serif"/>
                <w:sz w:val="18"/>
                <w:szCs w:val="18"/>
              </w:rPr>
              <w:t>150728</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r>
          </w:p>
          <w:p>
            <w:pPr>
              <w:pStyle w:val="style0"/>
              <w:jc w:val="center"/>
              <w:rPr>
                <w:rFonts w:ascii="Liberation Serif" w:hAnsi="Liberation Serif"/>
                <w:sz w:val="18"/>
                <w:szCs w:val="18"/>
              </w:rPr>
            </w:pPr>
            <w:r>
              <w:rPr>
                <w:rFonts w:ascii="Liberation Serif" w:hAnsi="Liberation Serif"/>
                <w:sz w:val="18"/>
                <w:szCs w:val="18"/>
              </w:rPr>
              <w:t>Rolo</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68</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Etiqueta adesiva para patrimônio, características mínimas: rolo de etiquetas adesivas fabricadas em material poliéster metalizado, sem impressão, na cor prata/cristal e cantos arrendondados para serem utilizados na impressora ARGOX OS214 PLUS, tamanho 50x20mm cada etiqueta, coluna 02, etiqueta para utilização em patrimônio de bens e para aplicação em superfície não porosa, cola adesiva de alta resistência, resistente a produtos de limpeza, sendo rolos com no mínimo 3.847 etiquetas cada.</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r>
          </w:p>
          <w:p>
            <w:pPr>
              <w:pStyle w:val="style0"/>
              <w:jc w:val="center"/>
              <w:rPr>
                <w:sz w:val="18"/>
                <w:szCs w:val="18"/>
              </w:rPr>
            </w:pPr>
            <w:r>
              <w:rPr>
                <w:sz w:val="18"/>
                <w:szCs w:val="18"/>
              </w:rPr>
              <w:t>1.958,70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r>
          </w:p>
          <w:p>
            <w:pPr>
              <w:pStyle w:val="style0"/>
              <w:jc w:val="center"/>
              <w:rPr>
                <w:sz w:val="18"/>
                <w:szCs w:val="18"/>
              </w:rPr>
            </w:pPr>
            <w:r>
              <w:rPr>
                <w:sz w:val="18"/>
                <w:szCs w:val="18"/>
              </w:rPr>
              <w:t>133.191,60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78</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118613</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Bobina</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54</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Papel térmico – bobina papel senha, material papel térmico, largura 80mm, comprimento 40 metros, gramatura 56, cor amarela, para utilização na impressora Urmet Daruma DR700</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28,01</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1.512,54</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79</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118613</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Caixa</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37</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Bobina papel impressora termossensível, cor branco, 22m comprimento, largura 76mm, caixa com 30 unidades</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26,40</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976,80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80</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Fita Brother TZe-S231 Preto Sobre Branco Brother 12mm.</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134,63</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1.346,30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81</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Unid.</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74</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Fita M de 12mm para Rotulador Brother Modelo PT-80.</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73,05</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5.405,70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82</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150819</w:t>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Kit</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200</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Cartão PVC. Especificações mínimas: cartão em PVC branco de alta qualidade, sem imperfeições, dimensão 85,6 mm x 53,98 compatível com a impressora DATACARD SD360. Kit com 100 unidades</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67,42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13.484,00</w:t>
            </w:r>
          </w:p>
        </w:tc>
      </w:tr>
      <w:tr>
        <w:trPr>
          <w:cantSplit w:val="false"/>
        </w:trPr>
        <w:tc>
          <w:tcPr>
            <w:tcW w:type="dxa" w:w="505"/>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83</w:t>
            </w:r>
          </w:p>
        </w:tc>
        <w:tc>
          <w:tcPr>
            <w:tcW w:type="dxa" w:w="645"/>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r>
          </w:p>
        </w:tc>
        <w:tc>
          <w:tcPr>
            <w:tcW w:type="dxa" w:w="517"/>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Kit</w:t>
            </w:r>
          </w:p>
        </w:tc>
        <w:tc>
          <w:tcPr>
            <w:tcW w:type="dxa" w:w="624"/>
            <w:tcBorders>
              <w:top w:val="nil"/>
              <w:left w:color="000001" w:space="0" w:sz="2" w:val="single"/>
              <w:bottom w:color="000001" w:space="0" w:sz="2" w:val="single"/>
              <w:right w:val="nil"/>
            </w:tcBorders>
            <w:shd w:fill="FFFFFF" w:val="clear"/>
            <w:tcMar>
              <w:left w:type="dxa" w:w="23"/>
            </w:tcMar>
            <w:vAlign w:val="center"/>
          </w:tcPr>
          <w:p>
            <w:pPr>
              <w:pStyle w:val="style0"/>
              <w:jc w:val="center"/>
              <w:rPr>
                <w:rFonts w:ascii="Liberation Serif" w:hAnsi="Liberation Serif"/>
                <w:sz w:val="18"/>
                <w:szCs w:val="18"/>
              </w:rPr>
            </w:pPr>
            <w:r>
              <w:rPr>
                <w:rFonts w:ascii="Liberation Serif" w:hAnsi="Liberation Serif"/>
                <w:sz w:val="18"/>
                <w:szCs w:val="18"/>
              </w:rPr>
              <w:t>51</w:t>
            </w:r>
          </w:p>
        </w:tc>
        <w:tc>
          <w:tcPr>
            <w:tcW w:type="dxa" w:w="573"/>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w:t>
            </w:r>
          </w:p>
        </w:tc>
        <w:tc>
          <w:tcPr>
            <w:tcW w:type="dxa" w:w="3847"/>
            <w:tcBorders>
              <w:top w:val="nil"/>
              <w:left w:color="000001" w:space="0" w:sz="2" w:val="single"/>
              <w:bottom w:color="000001" w:space="0" w:sz="2" w:val="single"/>
              <w:right w:val="nil"/>
            </w:tcBorders>
            <w:shd w:fill="FFFFFF" w:val="clear"/>
            <w:tcMar>
              <w:left w:type="dxa" w:w="23"/>
            </w:tcMar>
          </w:tcPr>
          <w:p>
            <w:pPr>
              <w:pStyle w:val="style0"/>
              <w:jc w:val="left"/>
              <w:rPr>
                <w:rFonts w:ascii="Liberation Serif" w:hAnsi="Liberation Serif"/>
                <w:sz w:val="18"/>
                <w:szCs w:val="18"/>
              </w:rPr>
            </w:pPr>
            <w:r>
              <w:rPr>
                <w:rFonts w:ascii="Liberation Serif" w:hAnsi="Liberation Serif"/>
                <w:sz w:val="18"/>
                <w:szCs w:val="18"/>
              </w:rPr>
              <w:t>Cartão PVC 125 khz: cartão PVC branco brilhante com tecnologia LF (Baixa Frequência, Passivo), dimensão 85,6 mm x 53,98 x 0,9 mm, Tipo ISO, Modulação ASK, Frequência de Operação 125khz, Chip RFID Unique EM4002 ou compatível com RO, aplicação identificação de pessoas, kit com 100 unidades.</w:t>
            </w:r>
          </w:p>
        </w:tc>
        <w:tc>
          <w:tcPr>
            <w:tcW w:type="dxa" w:w="950"/>
            <w:tcBorders>
              <w:top w:val="nil"/>
              <w:left w:color="000001" w:space="0" w:sz="2" w:val="single"/>
              <w:bottom w:color="000001" w:space="0" w:sz="2" w:val="single"/>
              <w:right w:val="nil"/>
            </w:tcBorders>
            <w:shd w:fill="FFFFFF" w:val="clear"/>
            <w:tcMar>
              <w:left w:type="dxa" w:w="23"/>
            </w:tcMar>
            <w:vAlign w:val="center"/>
          </w:tcPr>
          <w:p>
            <w:pPr>
              <w:pStyle w:val="style0"/>
              <w:jc w:val="center"/>
              <w:rPr>
                <w:sz w:val="18"/>
                <w:szCs w:val="18"/>
              </w:rPr>
            </w:pPr>
            <w:r>
              <w:rPr>
                <w:sz w:val="18"/>
                <w:szCs w:val="18"/>
              </w:rPr>
              <w:t>1.007,42</w:t>
            </w:r>
          </w:p>
        </w:tc>
        <w:tc>
          <w:tcPr>
            <w:tcW w:type="dxa" w:w="1402"/>
            <w:tcBorders>
              <w:top w:val="nil"/>
              <w:left w:color="000001" w:space="0" w:sz="2" w:val="single"/>
              <w:bottom w:color="000001" w:space="0" w:sz="2" w:val="single"/>
              <w:right w:color="000001" w:space="0" w:sz="2" w:val="single"/>
            </w:tcBorders>
            <w:shd w:fill="FFFFFF" w:val="clear"/>
            <w:tcMar>
              <w:left w:type="dxa" w:w="23"/>
            </w:tcMar>
            <w:vAlign w:val="center"/>
          </w:tcPr>
          <w:p>
            <w:pPr>
              <w:pStyle w:val="style0"/>
              <w:jc w:val="center"/>
              <w:rPr>
                <w:sz w:val="18"/>
                <w:szCs w:val="18"/>
              </w:rPr>
            </w:pPr>
            <w:r>
              <w:rPr>
                <w:sz w:val="18"/>
                <w:szCs w:val="18"/>
              </w:rPr>
              <w:t>51.378,42</w:t>
            </w:r>
          </w:p>
        </w:tc>
      </w:tr>
    </w:tbl>
    <w:p>
      <w:pPr>
        <w:pStyle w:val="style0"/>
        <w:rPr/>
      </w:pPr>
      <w:r>
        <w:rPr/>
      </w:r>
    </w:p>
    <w:p>
      <w:pPr>
        <w:pStyle w:val="style0"/>
        <w:rPr/>
      </w:pPr>
      <w:r>
        <w:rPr/>
      </w:r>
    </w:p>
    <w:p>
      <w:pPr>
        <w:pStyle w:val="style0"/>
        <w:widowControl/>
        <w:suppressAutoHyphens w:val="true"/>
        <w:spacing w:after="120" w:before="0" w:line="276" w:lineRule="auto"/>
        <w:ind w:hanging="0" w:left="710" w:right="0"/>
        <w:contextualSpacing w:val="false"/>
        <w:jc w:val="both"/>
        <w:rPr>
          <w:rFonts w:ascii="Calibri" w:cs="Arial" w:hAnsi="Calibri"/>
          <w:i/>
          <w:color w:val="000000"/>
          <w:sz w:val="22"/>
          <w:szCs w:val="22"/>
        </w:rPr>
      </w:pPr>
      <w:r>
        <w:rPr>
          <w:rFonts w:ascii="Calibri" w:cs="Arial" w:hAnsi="Calibri"/>
          <w:i/>
          <w:color w:val="000000"/>
          <w:sz w:val="22"/>
          <w:szCs w:val="22"/>
        </w:rPr>
        <w:t xml:space="preserve">1.2 Estimativas de consumo individualizadas, do órgão gerenciador e órgão(s) e entidade(s) participante(s) conforme tabela </w:t>
      </w:r>
      <w:r>
        <w:rPr>
          <w:rFonts w:ascii="Calibri" w:cs="Arial" w:hAnsi="Calibri"/>
          <w:b/>
          <w:bCs/>
          <w:i/>
          <w:color w:val="000000"/>
          <w:sz w:val="22"/>
          <w:szCs w:val="22"/>
        </w:rPr>
        <w:t>anexo IV</w:t>
      </w:r>
      <w:r>
        <w:rPr>
          <w:rFonts w:ascii="Calibri" w:cs="Arial" w:hAnsi="Calibri"/>
          <w:i/>
          <w:color w:val="000000"/>
          <w:sz w:val="22"/>
          <w:szCs w:val="22"/>
        </w:rPr>
        <w:t>.</w:t>
      </w:r>
    </w:p>
    <w:p>
      <w:pPr>
        <w:pStyle w:val="style0"/>
        <w:numPr>
          <w:ilvl w:val="0"/>
          <w:numId w:val="1"/>
        </w:numPr>
        <w:spacing w:after="12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JUSTIFICATIVA E OBJETIVO DA CONTRATAÇÃO</w:t>
      </w:r>
    </w:p>
    <w:p>
      <w:pPr>
        <w:pStyle w:val="style0"/>
        <w:widowControl/>
        <w:numPr>
          <w:ilvl w:val="1"/>
          <w:numId w:val="1"/>
        </w:numPr>
        <w:suppressAutoHyphens w:val="true"/>
        <w:spacing w:after="120" w:before="120" w:line="276" w:lineRule="auto"/>
        <w:contextualSpacing w:val="false"/>
        <w:jc w:val="both"/>
        <w:rPr>
          <w:rFonts w:ascii="TimesNewRomanPSMT" w:cs="Arial" w:hAnsi="TimesNewRomanPSMT"/>
          <w:color w:val="000000"/>
          <w:sz w:val="24"/>
          <w:szCs w:val="22"/>
          <w:shd w:fill="FFFFFF" w:val="clear"/>
        </w:rPr>
      </w:pPr>
      <w:r>
        <w:rPr>
          <w:rFonts w:ascii="Liberation Serif" w:cs="Arial" w:hAnsi="Liberation Serif"/>
          <w:color w:val="000000"/>
          <w:sz w:val="22"/>
          <w:szCs w:val="22"/>
          <w:shd w:fill="FFFFFF" w:val="clear"/>
        </w:rPr>
        <w:t xml:space="preserve">A aquisição dos referidos produtos por meio de Registro de Preços, Objetivando o atendimento das demandas advindas do IFMT - Campi: Alta Floresta - </w:t>
      </w:r>
      <w:r>
        <w:rPr>
          <w:rFonts w:ascii="Liberation Serif" w:cs="Arial" w:hAnsi="Liberation Serif"/>
          <w:b/>
          <w:bCs/>
          <w:color w:val="000000"/>
          <w:sz w:val="22"/>
          <w:szCs w:val="22"/>
          <w:shd w:fill="FFFF00" w:val="clear"/>
        </w:rPr>
        <w:t>ALF</w:t>
      </w:r>
      <w:r>
        <w:rPr>
          <w:rFonts w:ascii="Liberation Serif" w:cs="Arial" w:hAnsi="Liberation Serif"/>
          <w:color w:val="000000"/>
          <w:sz w:val="22"/>
          <w:szCs w:val="22"/>
          <w:shd w:fill="FFFFFF" w:val="clear"/>
        </w:rPr>
        <w:t xml:space="preserve">, Barra do Garças - </w:t>
      </w:r>
      <w:r>
        <w:rPr>
          <w:rFonts w:ascii="Liberation Serif" w:cs="Arial" w:hAnsi="Liberation Serif"/>
          <w:b/>
          <w:bCs/>
          <w:color w:val="000000"/>
          <w:sz w:val="22"/>
          <w:szCs w:val="22"/>
          <w:shd w:fill="FFFF00" w:val="clear"/>
        </w:rPr>
        <w:t>BAG</w:t>
      </w:r>
      <w:r>
        <w:rPr>
          <w:rFonts w:ascii="Liberation Serif" w:cs="Arial" w:hAnsi="Liberation Serif"/>
          <w:color w:val="000000"/>
          <w:sz w:val="22"/>
          <w:szCs w:val="22"/>
          <w:shd w:fill="FFFF00" w:val="clear"/>
        </w:rPr>
        <w:t>,</w:t>
      </w:r>
      <w:r>
        <w:rPr>
          <w:rFonts w:ascii="Liberation Serif" w:cs="Arial" w:hAnsi="Liberation Serif"/>
          <w:color w:val="000000"/>
          <w:sz w:val="22"/>
          <w:szCs w:val="22"/>
          <w:shd w:fill="FFFFFF" w:val="clear"/>
        </w:rPr>
        <w:t xml:space="preserve"> Cáceres - </w:t>
      </w:r>
      <w:r>
        <w:rPr>
          <w:rFonts w:ascii="Liberation Serif" w:cs="Arial" w:hAnsi="Liberation Serif"/>
          <w:b/>
          <w:bCs/>
          <w:color w:val="000000"/>
          <w:sz w:val="22"/>
          <w:szCs w:val="22"/>
          <w:shd w:fill="FFFF00" w:val="clear"/>
        </w:rPr>
        <w:t>CAS</w:t>
      </w:r>
      <w:r>
        <w:rPr>
          <w:rFonts w:ascii="Liberation Serif" w:cs="Arial" w:hAnsi="Liberation Serif"/>
          <w:color w:val="000000"/>
          <w:sz w:val="22"/>
          <w:szCs w:val="22"/>
          <w:shd w:fill="FFFFFF" w:val="clear"/>
        </w:rPr>
        <w:t xml:space="preserve">, Cuiabá  - </w:t>
      </w:r>
      <w:r>
        <w:rPr>
          <w:rFonts w:ascii="Liberation Serif" w:cs="Arial" w:hAnsi="Liberation Serif"/>
          <w:b/>
          <w:bCs/>
          <w:color w:val="000000"/>
          <w:sz w:val="22"/>
          <w:szCs w:val="22"/>
          <w:shd w:fill="FFFF00" w:val="clear"/>
        </w:rPr>
        <w:t>CBA</w:t>
      </w:r>
      <w:r>
        <w:rPr>
          <w:rFonts w:ascii="Liberation Serif" w:cs="Arial" w:hAnsi="Liberation Serif"/>
          <w:color w:val="000000"/>
          <w:sz w:val="22"/>
          <w:szCs w:val="22"/>
          <w:shd w:fill="FFFFFF" w:val="clear"/>
        </w:rPr>
        <w:t>, Confresa -</w:t>
      </w:r>
      <w:r>
        <w:rPr>
          <w:rFonts w:ascii="Liberation Serif" w:cs="Arial" w:hAnsi="Liberation Serif"/>
          <w:b/>
          <w:bCs/>
          <w:color w:val="000000"/>
          <w:sz w:val="22"/>
          <w:szCs w:val="22"/>
          <w:shd w:fill="FFFFFF" w:val="clear"/>
        </w:rPr>
        <w:t xml:space="preserve"> </w:t>
      </w:r>
      <w:r>
        <w:rPr>
          <w:rFonts w:ascii="Liberation Serif" w:cs="Arial" w:hAnsi="Liberation Serif"/>
          <w:b/>
          <w:bCs/>
          <w:color w:val="000000"/>
          <w:sz w:val="22"/>
          <w:szCs w:val="22"/>
          <w:shd w:fill="FFFF00" w:val="clear"/>
        </w:rPr>
        <w:t>CFS</w:t>
      </w:r>
      <w:r>
        <w:rPr>
          <w:rFonts w:ascii="Liberation Serif" w:cs="Arial" w:hAnsi="Liberation Serif"/>
          <w:color w:val="000000"/>
          <w:sz w:val="22"/>
          <w:szCs w:val="22"/>
          <w:shd w:fill="FFFFFF" w:val="clear"/>
        </w:rPr>
        <w:t xml:space="preserve">, Campo Novo do Parecis - </w:t>
      </w:r>
      <w:r>
        <w:rPr>
          <w:rFonts w:ascii="Liberation Serif" w:cs="Arial" w:hAnsi="Liberation Serif"/>
          <w:b/>
          <w:bCs/>
          <w:color w:val="000000"/>
          <w:sz w:val="22"/>
          <w:szCs w:val="22"/>
          <w:shd w:fill="FFFF00" w:val="clear"/>
        </w:rPr>
        <w:t>CNP</w:t>
      </w:r>
      <w:r>
        <w:rPr>
          <w:rFonts w:ascii="Liberation Serif" w:cs="Arial" w:hAnsi="Liberation Serif"/>
          <w:color w:val="000000"/>
          <w:sz w:val="22"/>
          <w:szCs w:val="22"/>
          <w:shd w:fill="FFFFFF" w:val="clear"/>
        </w:rPr>
        <w:t xml:space="preserve">, Diamantino - </w:t>
      </w:r>
      <w:r>
        <w:rPr>
          <w:rFonts w:ascii="Liberation Serif" w:cs="Arial" w:hAnsi="Liberation Serif"/>
          <w:b/>
          <w:bCs/>
          <w:color w:val="000000"/>
          <w:sz w:val="22"/>
          <w:szCs w:val="22"/>
          <w:shd w:fill="FFFF00" w:val="clear"/>
        </w:rPr>
        <w:t>DMT</w:t>
      </w:r>
      <w:r>
        <w:rPr>
          <w:rFonts w:ascii="Liberation Serif" w:cs="Arial" w:hAnsi="Liberation Serif"/>
          <w:color w:val="000000"/>
          <w:sz w:val="22"/>
          <w:szCs w:val="22"/>
          <w:shd w:fill="FFFFFF" w:val="clear"/>
        </w:rPr>
        <w:t>, Guarantã do Norte -</w:t>
      </w:r>
      <w:r>
        <w:rPr>
          <w:rFonts w:ascii="Liberation Serif" w:cs="Arial" w:hAnsi="Liberation Serif"/>
          <w:color w:val="000000"/>
          <w:sz w:val="22"/>
          <w:szCs w:val="22"/>
          <w:shd w:fill="FFFF00" w:val="clear"/>
        </w:rPr>
        <w:t xml:space="preserve"> </w:t>
      </w:r>
      <w:r>
        <w:rPr>
          <w:rFonts w:ascii="Liberation Serif" w:cs="Arial" w:hAnsi="Liberation Serif"/>
          <w:b/>
          <w:bCs/>
          <w:color w:val="000000"/>
          <w:sz w:val="22"/>
          <w:szCs w:val="22"/>
          <w:shd w:fill="FFFF00" w:val="clear"/>
        </w:rPr>
        <w:t>GTA</w:t>
      </w:r>
      <w:r>
        <w:rPr>
          <w:rFonts w:ascii="Liberation Serif" w:cs="Arial" w:hAnsi="Liberation Serif"/>
          <w:color w:val="000000"/>
          <w:sz w:val="22"/>
          <w:szCs w:val="22"/>
          <w:shd w:fill="FFFFFF" w:val="clear"/>
        </w:rPr>
        <w:t xml:space="preserve">, Juína - </w:t>
      </w:r>
      <w:r>
        <w:rPr>
          <w:rFonts w:ascii="Liberation Serif" w:cs="Arial" w:hAnsi="Liberation Serif"/>
          <w:b/>
          <w:bCs/>
          <w:color w:val="000000"/>
          <w:sz w:val="22"/>
          <w:szCs w:val="22"/>
          <w:shd w:fill="FFFF00" w:val="clear"/>
        </w:rPr>
        <w:t>JNA</w:t>
      </w:r>
      <w:r>
        <w:rPr>
          <w:rFonts w:ascii="Liberation Serif" w:cs="Arial" w:hAnsi="Liberation Serif"/>
          <w:color w:val="000000"/>
          <w:sz w:val="22"/>
          <w:szCs w:val="22"/>
          <w:shd w:fill="FFFFFF" w:val="clear"/>
        </w:rPr>
        <w:t xml:space="preserve">, Lucas do Rio Verde - </w:t>
      </w:r>
      <w:r>
        <w:rPr>
          <w:rFonts w:ascii="Liberation Serif" w:cs="Arial" w:hAnsi="Liberation Serif"/>
          <w:b/>
          <w:bCs/>
          <w:color w:val="000000"/>
          <w:sz w:val="22"/>
          <w:szCs w:val="22"/>
          <w:shd w:fill="FFFF00" w:val="clear"/>
        </w:rPr>
        <w:t>LRV</w:t>
      </w:r>
      <w:r>
        <w:rPr>
          <w:rFonts w:ascii="Liberation Serif" w:cs="Arial" w:hAnsi="Liberation Serif"/>
          <w:color w:val="000000"/>
          <w:sz w:val="22"/>
          <w:szCs w:val="22"/>
          <w:shd w:fill="FFFF00" w:val="clear"/>
        </w:rPr>
        <w:t>,</w:t>
      </w:r>
      <w:r>
        <w:rPr>
          <w:rFonts w:ascii="Liberation Serif" w:cs="Arial" w:hAnsi="Liberation Serif"/>
          <w:color w:val="000000"/>
          <w:sz w:val="22"/>
          <w:szCs w:val="22"/>
          <w:shd w:fill="FFFFFF" w:val="clear"/>
        </w:rPr>
        <w:t xml:space="preserve"> Primavera do Leste - </w:t>
      </w:r>
      <w:r>
        <w:rPr>
          <w:rFonts w:ascii="Liberation Serif" w:cs="Arial" w:hAnsi="Liberation Serif"/>
          <w:b/>
          <w:bCs/>
          <w:color w:val="000000"/>
          <w:sz w:val="22"/>
          <w:szCs w:val="22"/>
          <w:shd w:fill="FFFFFF" w:val="clear"/>
        </w:rPr>
        <w:t>PDL</w:t>
      </w:r>
      <w:r>
        <w:rPr>
          <w:rFonts w:ascii="Liberation Serif" w:cs="Arial" w:hAnsi="Liberation Serif"/>
          <w:color w:val="000000"/>
          <w:sz w:val="22"/>
          <w:szCs w:val="22"/>
          <w:shd w:fill="FFFFFF" w:val="clear"/>
        </w:rPr>
        <w:t>, Pontes e Lacerda -</w:t>
      </w:r>
      <w:r>
        <w:rPr>
          <w:rFonts w:ascii="Liberation Serif" w:cs="Arial" w:hAnsi="Liberation Serif"/>
          <w:color w:val="000000"/>
          <w:sz w:val="22"/>
          <w:szCs w:val="22"/>
          <w:shd w:fill="FFFF00" w:val="clear"/>
        </w:rPr>
        <w:t xml:space="preserve"> </w:t>
      </w:r>
      <w:r>
        <w:rPr>
          <w:rFonts w:ascii="Liberation Serif" w:cs="Arial" w:hAnsi="Liberation Serif"/>
          <w:b/>
          <w:bCs/>
          <w:color w:val="000000"/>
          <w:sz w:val="22"/>
          <w:szCs w:val="22"/>
          <w:shd w:fill="FFFF00" w:val="clear"/>
        </w:rPr>
        <w:t>PLC</w:t>
      </w:r>
      <w:r>
        <w:rPr>
          <w:rFonts w:ascii="Liberation Serif" w:cs="Arial" w:hAnsi="Liberation Serif"/>
          <w:color w:val="000000"/>
          <w:sz w:val="22"/>
          <w:szCs w:val="22"/>
          <w:shd w:fill="FFFFFF" w:val="clear"/>
        </w:rPr>
        <w:t>, Rondonópolis -</w:t>
      </w:r>
      <w:r>
        <w:rPr>
          <w:rFonts w:ascii="Liberation Serif" w:cs="Arial" w:hAnsi="Liberation Serif"/>
          <w:color w:val="000000"/>
          <w:sz w:val="22"/>
          <w:szCs w:val="22"/>
          <w:shd w:fill="FFFF00" w:val="clear"/>
        </w:rPr>
        <w:t xml:space="preserve"> </w:t>
      </w:r>
      <w:r>
        <w:rPr>
          <w:rFonts w:ascii="Liberation Serif" w:cs="Arial" w:hAnsi="Liberation Serif"/>
          <w:b/>
          <w:bCs/>
          <w:color w:val="000000"/>
          <w:sz w:val="22"/>
          <w:szCs w:val="22"/>
          <w:shd w:fill="FFFF00" w:val="clear"/>
        </w:rPr>
        <w:t>ROO</w:t>
      </w:r>
      <w:r>
        <w:rPr>
          <w:rFonts w:ascii="Liberation Serif" w:cs="Arial" w:hAnsi="Liberation Serif"/>
          <w:color w:val="000000"/>
          <w:sz w:val="22"/>
          <w:szCs w:val="22"/>
          <w:shd w:fill="FFFFFF" w:val="clear"/>
        </w:rPr>
        <w:t xml:space="preserve">, Reitoria - </w:t>
      </w:r>
      <w:r>
        <w:rPr>
          <w:rFonts w:ascii="Liberation Serif" w:cs="Arial" w:hAnsi="Liberation Serif"/>
          <w:b/>
          <w:bCs/>
          <w:color w:val="000000"/>
          <w:sz w:val="22"/>
          <w:szCs w:val="22"/>
          <w:shd w:fill="FFFF00" w:val="clear"/>
        </w:rPr>
        <w:t>RTR</w:t>
      </w:r>
      <w:r>
        <w:rPr>
          <w:rFonts w:ascii="Liberation Serif" w:cs="Arial" w:hAnsi="Liberation Serif"/>
          <w:color w:val="000000"/>
          <w:sz w:val="22"/>
          <w:szCs w:val="22"/>
          <w:shd w:fill="FFFFFF" w:val="clear"/>
        </w:rPr>
        <w:t xml:space="preserve">, Sinop - </w:t>
      </w:r>
      <w:r>
        <w:rPr>
          <w:rFonts w:ascii="Liberation Serif" w:cs="Arial" w:hAnsi="Liberation Serif"/>
          <w:b/>
          <w:bCs/>
          <w:color w:val="000000"/>
          <w:sz w:val="22"/>
          <w:szCs w:val="22"/>
          <w:shd w:fill="FFFF00" w:val="clear"/>
        </w:rPr>
        <w:t>SNP</w:t>
      </w:r>
      <w:r>
        <w:rPr>
          <w:rFonts w:ascii="Liberation Serif" w:cs="Arial" w:hAnsi="Liberation Serif"/>
          <w:color w:val="000000"/>
          <w:sz w:val="22"/>
          <w:szCs w:val="22"/>
          <w:shd w:fill="FFFFFF" w:val="clear"/>
        </w:rPr>
        <w:t>, Sorriso -</w:t>
      </w:r>
      <w:r>
        <w:rPr>
          <w:rFonts w:ascii="Liberation Serif" w:cs="Arial" w:hAnsi="Liberation Serif"/>
          <w:color w:val="000000"/>
          <w:sz w:val="22"/>
          <w:szCs w:val="22"/>
          <w:shd w:fill="FFFF00" w:val="clear"/>
        </w:rPr>
        <w:t xml:space="preserve"> </w:t>
      </w:r>
      <w:r>
        <w:rPr>
          <w:rFonts w:ascii="Liberation Serif" w:cs="Arial" w:hAnsi="Liberation Serif"/>
          <w:b/>
          <w:bCs/>
          <w:color w:val="000000"/>
          <w:sz w:val="22"/>
          <w:szCs w:val="22"/>
          <w:shd w:fill="FFFF00" w:val="clear"/>
        </w:rPr>
        <w:t>SRS</w:t>
      </w:r>
      <w:r>
        <w:rPr>
          <w:rFonts w:ascii="Liberation Serif" w:cs="Arial" w:hAnsi="Liberation Serif"/>
          <w:color w:val="000000"/>
          <w:sz w:val="22"/>
          <w:szCs w:val="22"/>
          <w:shd w:fill="FFFF00" w:val="clear"/>
        </w:rPr>
        <w:t>,</w:t>
      </w:r>
      <w:r>
        <w:rPr>
          <w:rFonts w:ascii="Liberation Serif" w:cs="Arial" w:hAnsi="Liberation Serif"/>
          <w:color w:val="000000"/>
          <w:sz w:val="22"/>
          <w:szCs w:val="22"/>
          <w:shd w:fill="FFFFFF" w:val="clear"/>
        </w:rPr>
        <w:t xml:space="preserve"> São Vicente –</w:t>
      </w:r>
      <w:r>
        <w:rPr>
          <w:rFonts w:ascii="Liberation Serif" w:cs="Arial" w:hAnsi="Liberation Serif"/>
          <w:color w:val="000000"/>
          <w:sz w:val="22"/>
          <w:szCs w:val="22"/>
          <w:shd w:fill="FFFF00" w:val="clear"/>
        </w:rPr>
        <w:t xml:space="preserve"> </w:t>
      </w:r>
      <w:r>
        <w:rPr>
          <w:rFonts w:ascii="Liberation Serif" w:cs="Arial" w:hAnsi="Liberation Serif"/>
          <w:b/>
          <w:bCs/>
          <w:color w:val="000000"/>
          <w:sz w:val="22"/>
          <w:szCs w:val="22"/>
          <w:shd w:fill="FFFF00" w:val="clear"/>
        </w:rPr>
        <w:t>SVC,</w:t>
      </w:r>
      <w:r>
        <w:rPr>
          <w:rFonts w:ascii="Liberation Serif" w:cs="Arial" w:hAnsi="Liberation Serif"/>
          <w:color w:val="000000"/>
          <w:sz w:val="22"/>
          <w:szCs w:val="22"/>
          <w:shd w:fill="FFFFFF" w:val="clear"/>
        </w:rPr>
        <w:t xml:space="preserve"> Tangará da Serra – </w:t>
      </w:r>
      <w:r>
        <w:rPr>
          <w:rFonts w:ascii="Liberation Serif" w:cs="Arial" w:hAnsi="Liberation Serif"/>
          <w:b/>
          <w:bCs/>
          <w:color w:val="000000"/>
          <w:sz w:val="22"/>
          <w:szCs w:val="22"/>
          <w:shd w:fill="FFFF00" w:val="clear"/>
        </w:rPr>
        <w:t>TGA, Várzea Grande – VGA e COMANDO DA 8. REGIAO MILITAR</w:t>
      </w:r>
      <w:r>
        <w:rPr>
          <w:rFonts w:ascii="Liberation Serif" w:cs="Arial" w:hAnsi="Liberation Serif"/>
          <w:color w:val="000000"/>
          <w:sz w:val="22"/>
          <w:szCs w:val="22"/>
          <w:shd w:fill="FFFFFF" w:val="clear"/>
        </w:rPr>
        <w:t xml:space="preserve">. visa a garantir, a qualquer tempo, a aquisição de suprimentos de informática para </w:t>
      </w:r>
      <w:r>
        <w:rPr>
          <w:rFonts w:ascii="TimesNewRomanPSMT" w:cs="Arial" w:hAnsi="TimesNewRomanPSMT"/>
          <w:color w:val="000000"/>
          <w:sz w:val="24"/>
          <w:szCs w:val="22"/>
          <w:shd w:fill="FFFFFF" w:val="clear"/>
        </w:rPr>
        <w:t xml:space="preserve">suprir as máquinas pertencentes ao patrimônio do IFMT – Campus São Vicente e participantes, a fim de executar as atividades de rotina no que diz respeito a impressão e a reprodução de documentos. Nesse sentido, o Almoxarifado planeja a reposição do estoque através do levantamento do consumo necessário para atender as diversas dependências do IFMT visando a manutenção do fluxo para o período de 12 (doze) meses. Os cálculos para as quantidades </w:t>
      </w:r>
      <w:r>
        <w:rPr>
          <w:rFonts w:ascii="TimesNewRomanPSMT" w:cs="Arial" w:hAnsi="TimesNewRomanPSMT"/>
          <w:color w:val="00000A"/>
          <w:sz w:val="24"/>
          <w:szCs w:val="22"/>
          <w:shd w:fill="FFFFFF" w:val="clear"/>
        </w:rPr>
        <w:t xml:space="preserve">a serem adquiridas foram </w:t>
      </w:r>
      <w:r>
        <w:rPr>
          <w:rFonts w:ascii="TimesNewRomanPSMT" w:cs="Arial" w:hAnsi="TimesNewRomanPSMT"/>
          <w:color w:val="000000"/>
          <w:sz w:val="24"/>
          <w:szCs w:val="22"/>
          <w:shd w:fill="FFFFFF" w:val="clear"/>
        </w:rPr>
        <w:t>obtidas a partir do consumo do ano de 2015.</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cs="Arial" w:hAnsi="Calibri"/>
          <w:color w:val="000000"/>
          <w:sz w:val="22"/>
          <w:szCs w:val="22"/>
          <w:shd w:fill="FFFFFF" w:val="clear"/>
        </w:rPr>
        <w:t xml:space="preserve">Optou-se pelo Registro de Preços por ser mais conveniente para a Administração evitando parcelamentos e fracionamento na aquisição, a compra conjunta entre os campi envolvidos visa conquistar melhores preços juntos aos fornecedores trazendo maior economicidade aos cofres públicos, bem como, amplia o alcance dos benefícios alcançados com este processo para a comunidade administrativa e educacional do IFMT. </w:t>
      </w:r>
      <w:r>
        <w:rPr>
          <w:rFonts w:ascii="Calibri" w:hAnsi="Calibri"/>
          <w:color w:val="000000"/>
          <w:sz w:val="22"/>
          <w:szCs w:val="22"/>
          <w:shd w:fill="FFFFFF" w:val="clear"/>
        </w:rPr>
        <w:t>Procedimentos para registro formal de preços relativos a prestação de serviços e aquisições de bens, para contratações futuras.</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O registro de preços será formalizado por intermédio de Ata de Registro de Preços, e nas demais condições previstas neste termo de Referência.</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 xml:space="preserve"> </w:t>
      </w:r>
      <w:r>
        <w:rPr>
          <w:rFonts w:ascii="Calibri" w:hAnsi="Calibri"/>
          <w:color w:val="000000"/>
          <w:sz w:val="22"/>
          <w:szCs w:val="22"/>
        </w:rPr>
        <w:t>A existência de preços registrados não obriga a Administração a firmar as contratações que delas poderão advir, facultando-se a realização de licitação específica para a aquisição pretendida, sendo assegurado ao beneficiário do registro preferência de fornecimento em igualdade de condição.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Nesta licitação, será firmada uma Ata de Registro de Preços, que é um documento vinculativo, obrigacional, com característica de compromisso para futura contratação, onde se registram os preços, fornecedores, órgãos participantes e condições a serem praticadas, conforme as disposições contidas no instrumento convocatório e propostas apresentadas.</w:t>
      </w:r>
    </w:p>
    <w:p>
      <w:pPr>
        <w:pStyle w:val="style0"/>
        <w:widowControl/>
        <w:spacing w:after="120" w:before="120" w:line="276" w:lineRule="auto"/>
        <w:ind w:hanging="0" w:left="10"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CLASSIFICAÇÃO DOS BENS COMUNS</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b w:val="false"/>
          <w:bCs w:val="false"/>
          <w:color w:val="000000"/>
          <w:sz w:val="22"/>
          <w:szCs w:val="22"/>
          <w:lang w:bidi="zxx-"/>
        </w:rPr>
      </w:pPr>
      <w:r>
        <w:rPr>
          <w:rFonts w:ascii="Calibri" w:cs="Arial" w:hAnsi="Calibri"/>
          <w:b w:val="false"/>
          <w:bCs w:val="false"/>
          <w:color w:val="000000"/>
          <w:sz w:val="22"/>
          <w:szCs w:val="22"/>
          <w:lang w:bidi="zxx-"/>
        </w:rPr>
        <w:t xml:space="preserve">Os bens a serem adquiridos enquadram-se na classificação de bens comuns, nos termos da Lei n° 10.520, de 2002, do Decreto n° 3.555, de 2000, e do Decreto 5.450, de 2005. </w:t>
      </w:r>
    </w:p>
    <w:p>
      <w:pPr>
        <w:pStyle w:val="style0"/>
        <w:widowControl/>
        <w:spacing w:after="120" w:before="120" w:line="276" w:lineRule="auto"/>
        <w:ind w:hanging="0" w:left="-344"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rPr>
      </w:pPr>
      <w:r>
        <w:rPr>
          <w:rFonts w:ascii="Calibri" w:cs="Arial" w:hAnsi="Calibri"/>
          <w:b/>
          <w:bCs/>
          <w:color w:val="000000"/>
          <w:sz w:val="22"/>
          <w:szCs w:val="22"/>
        </w:rPr>
        <w:t>ENTREGA E CRITÉRIOS DE ACEITAÇÃO DO OBJETO.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O prazo de entrega dos bens é de 30 (trinta) dias, contados do envio da nota de empenho, em remessa </w:t>
      </w:r>
      <w:r>
        <w:rPr>
          <w:rFonts w:ascii="Calibri" w:cs="Arial" w:hAnsi="Calibri"/>
          <w:i/>
          <w:iCs/>
          <w:color w:val="000000"/>
          <w:sz w:val="22"/>
          <w:szCs w:val="22"/>
        </w:rPr>
        <w:t>única</w:t>
      </w:r>
      <w:r>
        <w:rPr>
          <w:rFonts w:ascii="Calibri" w:cs="Arial" w:hAnsi="Calibri"/>
          <w:iCs/>
          <w:color w:val="000000"/>
          <w:sz w:val="22"/>
          <w:szCs w:val="22"/>
        </w:rPr>
        <w:t>, conforme solicitação e endereços dos Campi relacionados abaixo:</w:t>
      </w:r>
    </w:p>
    <w:p>
      <w:pPr>
        <w:pStyle w:val="style0"/>
        <w:widowControl/>
        <w:spacing w:after="120" w:before="120" w:line="276" w:lineRule="auto"/>
        <w:ind w:hanging="0" w:left="-355" w:right="0"/>
        <w:contextualSpacing w:val="false"/>
        <w:jc w:val="both"/>
        <w:rPr>
          <w:rFonts w:ascii="Calibri" w:hAnsi="Calibri"/>
          <w:color w:val="000000"/>
          <w:sz w:val="22"/>
          <w:szCs w:val="22"/>
        </w:rPr>
      </w:pPr>
      <w:r>
        <w:rPr>
          <w:rFonts w:ascii="Calibri" w:hAnsi="Calibri"/>
          <w:color w:val="000000"/>
          <w:sz w:val="22"/>
          <w:szCs w:val="22"/>
        </w:rPr>
      </w:r>
    </w:p>
    <w:p>
      <w:pPr>
        <w:pStyle w:val="style0"/>
        <w:widowControl/>
        <w:suppressAutoHyphens w:val="true"/>
        <w:spacing w:after="120" w:before="120" w:line="276" w:lineRule="auto"/>
        <w:ind w:hanging="0" w:left="1148" w:right="0"/>
        <w:contextualSpacing w:val="false"/>
        <w:jc w:val="both"/>
        <w:rPr>
          <w:rFonts w:ascii="Calibri" w:hAnsi="Calibri"/>
          <w:color w:val="000000"/>
          <w:sz w:val="22"/>
          <w:szCs w:val="22"/>
        </w:rPr>
      </w:pPr>
      <w:r>
        <w:rPr>
          <w:rFonts w:ascii="Calibri" w:hAnsi="Calibri"/>
          <w:color w:val="000000"/>
          <w:sz w:val="22"/>
          <w:szCs w:val="22"/>
        </w:rPr>
        <w:t xml:space="preserve">a) IFMT - </w:t>
      </w:r>
      <w:r>
        <w:rPr>
          <w:rFonts w:ascii="Calibri" w:hAnsi="Calibri"/>
          <w:b/>
          <w:bCs/>
          <w:color w:val="000000"/>
          <w:sz w:val="22"/>
          <w:szCs w:val="22"/>
        </w:rPr>
        <w:t>Alta Floresta</w:t>
      </w:r>
      <w:r>
        <w:rPr>
          <w:rFonts w:ascii="Calibri" w:hAnsi="Calibri"/>
          <w:color w:val="000000"/>
          <w:sz w:val="22"/>
          <w:szCs w:val="22"/>
        </w:rPr>
        <w:t xml:space="preserve"> - Rua A, Bairro: Setor A, 198, Primeiro Andar - CEP: 78580-000, Telefone: (66) 3512-7000, Alta Floresta / MT.</w:t>
      </w:r>
    </w:p>
    <w:p>
      <w:pPr>
        <w:pStyle w:val="style0"/>
        <w:widowControl/>
        <w:suppressAutoHyphens w:val="true"/>
        <w:spacing w:line="276" w:lineRule="auto"/>
        <w:ind w:hanging="0" w:left="1158" w:right="0"/>
        <w:jc w:val="both"/>
        <w:rPr>
          <w:rFonts w:ascii="Calibri" w:hAnsi="Calibri"/>
          <w:color w:val="000000"/>
          <w:sz w:val="22"/>
          <w:szCs w:val="22"/>
        </w:rPr>
      </w:pPr>
      <w:r>
        <w:rPr>
          <w:rFonts w:ascii="Calibri" w:hAnsi="Calibri"/>
          <w:color w:val="000000"/>
          <w:sz w:val="22"/>
          <w:szCs w:val="22"/>
        </w:rPr>
        <w:t xml:space="preserve">b) IFMT - </w:t>
      </w:r>
      <w:r>
        <w:rPr>
          <w:rFonts w:ascii="Calibri" w:hAnsi="Calibri"/>
          <w:b/>
          <w:bCs/>
          <w:color w:val="000000"/>
          <w:sz w:val="22"/>
          <w:szCs w:val="22"/>
        </w:rPr>
        <w:t>Campus Barra do Garças</w:t>
      </w:r>
      <w:r>
        <w:rPr>
          <w:rFonts w:ascii="Calibri" w:hAnsi="Calibri"/>
          <w:color w:val="000000"/>
          <w:sz w:val="22"/>
          <w:szCs w:val="22"/>
        </w:rPr>
        <w:t xml:space="preserve"> - Estrada de acesso a BR-158, Radial José Maurício Zampa, s/n - CEP: 78600-000, Telefone: (66) 3402-0100, Barra do Garças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c) IFMT - </w:t>
      </w:r>
      <w:r>
        <w:rPr>
          <w:rFonts w:ascii="Calibri" w:hAnsi="Calibri"/>
          <w:b/>
          <w:bCs/>
          <w:color w:val="000000"/>
          <w:sz w:val="22"/>
          <w:szCs w:val="22"/>
        </w:rPr>
        <w:t>Campus Cáceres</w:t>
      </w:r>
      <w:r>
        <w:rPr>
          <w:rFonts w:ascii="Calibri" w:hAnsi="Calibri"/>
          <w:color w:val="000000"/>
          <w:sz w:val="22"/>
          <w:szCs w:val="22"/>
        </w:rPr>
        <w:t xml:space="preserve"> - Av. dos Ramires, s/n - CEP: 78200-000, Telefone: (65) 3221-2600, Cáceres / MT.</w:t>
      </w:r>
    </w:p>
    <w:p>
      <w:pPr>
        <w:pStyle w:val="style0"/>
        <w:widowControl/>
        <w:suppressAutoHyphens w:val="true"/>
        <w:spacing w:line="276" w:lineRule="auto"/>
        <w:ind w:hanging="0" w:left="1158" w:right="0"/>
        <w:jc w:val="both"/>
        <w:rPr>
          <w:rFonts w:ascii="Calibri" w:hAnsi="Calibri"/>
          <w:color w:val="000000"/>
          <w:sz w:val="22"/>
          <w:szCs w:val="22"/>
        </w:rPr>
      </w:pPr>
      <w:r>
        <w:rPr>
          <w:rFonts w:ascii="Calibri" w:hAnsi="Calibri"/>
          <w:color w:val="000000"/>
          <w:sz w:val="22"/>
          <w:szCs w:val="22"/>
        </w:rPr>
        <w:t xml:space="preserve">d) IFMT - </w:t>
      </w:r>
      <w:r>
        <w:rPr>
          <w:rFonts w:ascii="Calibri" w:hAnsi="Calibri"/>
          <w:b/>
          <w:bCs/>
          <w:color w:val="000000"/>
          <w:sz w:val="22"/>
          <w:szCs w:val="22"/>
        </w:rPr>
        <w:t xml:space="preserve">Campus Cuiabá </w:t>
      </w:r>
      <w:r>
        <w:rPr>
          <w:rFonts w:ascii="Calibri" w:hAnsi="Calibri"/>
          <w:color w:val="000000"/>
          <w:sz w:val="22"/>
          <w:szCs w:val="22"/>
        </w:rPr>
        <w:t>- Rua Profa. Zulmira Canavarros, 93 - CEP: 78605-200, Telefone: (65) 3318-1400, Cuiabá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e) IFMT - </w:t>
      </w:r>
      <w:r>
        <w:rPr>
          <w:rFonts w:ascii="Calibri" w:hAnsi="Calibri"/>
          <w:b/>
          <w:bCs/>
          <w:color w:val="000000"/>
          <w:sz w:val="22"/>
          <w:szCs w:val="22"/>
        </w:rPr>
        <w:t>Campus Confresa</w:t>
      </w:r>
      <w:r>
        <w:rPr>
          <w:rFonts w:ascii="Calibri" w:hAnsi="Calibri"/>
          <w:color w:val="000000"/>
          <w:sz w:val="22"/>
          <w:szCs w:val="22"/>
        </w:rPr>
        <w:t xml:space="preserve"> - Av. VIlmar Fernandes, 300 - CEP: 78652-000, Telefone: (66) 3564-2600, Confresa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f) IFMT - </w:t>
      </w:r>
      <w:r>
        <w:rPr>
          <w:rFonts w:ascii="Calibri" w:hAnsi="Calibri"/>
          <w:b/>
          <w:bCs/>
          <w:color w:val="000000"/>
          <w:sz w:val="22"/>
          <w:szCs w:val="22"/>
        </w:rPr>
        <w:t>Campus Campo Novo do Parecis</w:t>
      </w:r>
      <w:r>
        <w:rPr>
          <w:rFonts w:ascii="Calibri" w:hAnsi="Calibri"/>
          <w:color w:val="000000"/>
          <w:sz w:val="22"/>
          <w:szCs w:val="22"/>
        </w:rPr>
        <w:t xml:space="preserve"> - MT 235 Km 12, s/n - CEP: 78360-000, Telefone: (65) 3382-6200, Campo Novo do Parecis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g) IFMT - </w:t>
      </w:r>
      <w:r>
        <w:rPr>
          <w:rFonts w:ascii="Calibri" w:hAnsi="Calibri"/>
          <w:b/>
          <w:bCs/>
          <w:color w:val="000000"/>
          <w:sz w:val="22"/>
          <w:szCs w:val="22"/>
        </w:rPr>
        <w:t>Campus Diamantino</w:t>
      </w:r>
      <w:r>
        <w:rPr>
          <w:rFonts w:ascii="Calibri" w:hAnsi="Calibri"/>
          <w:color w:val="000000"/>
          <w:sz w:val="22"/>
          <w:szCs w:val="22"/>
        </w:rPr>
        <w:t xml:space="preserve"> - Rodovia Roberto Campos - Novo Diamantino, None - CEP: 78400-970, Telefone: (65) 3337-1005, Diamantino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h) IFMT - </w:t>
      </w:r>
      <w:r>
        <w:rPr>
          <w:rFonts w:ascii="Calibri" w:hAnsi="Calibri"/>
          <w:b/>
          <w:bCs/>
          <w:color w:val="000000"/>
          <w:sz w:val="22"/>
          <w:szCs w:val="22"/>
        </w:rPr>
        <w:t>Campus Guarantã do Norte</w:t>
      </w:r>
      <w:r>
        <w:rPr>
          <w:rFonts w:ascii="Calibri" w:hAnsi="Calibri"/>
          <w:color w:val="000000"/>
          <w:sz w:val="22"/>
          <w:szCs w:val="22"/>
        </w:rPr>
        <w:t xml:space="preserve"> - Rua Cambará nº 1.145, Centro - CEP: 78520-000, Telefone: (65) 9649-9668, Guarantã do Norte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i) IFMT - </w:t>
      </w:r>
      <w:r>
        <w:rPr>
          <w:rFonts w:ascii="Calibri" w:hAnsi="Calibri"/>
          <w:b/>
          <w:bCs/>
          <w:color w:val="000000"/>
          <w:sz w:val="22"/>
          <w:szCs w:val="22"/>
        </w:rPr>
        <w:t>Campus Juína</w:t>
      </w:r>
      <w:r>
        <w:rPr>
          <w:rFonts w:ascii="Calibri" w:hAnsi="Calibri"/>
          <w:color w:val="000000"/>
          <w:sz w:val="22"/>
          <w:szCs w:val="22"/>
        </w:rPr>
        <w:t xml:space="preserve"> - Linha J, s/n - CEP: 78320-000, Telefone: (66) 3566-7300, Juína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j) IFMT - </w:t>
      </w:r>
      <w:r>
        <w:rPr>
          <w:rFonts w:ascii="Calibri" w:hAnsi="Calibri"/>
          <w:b/>
          <w:bCs/>
          <w:color w:val="000000"/>
          <w:sz w:val="22"/>
          <w:szCs w:val="22"/>
        </w:rPr>
        <w:t>Campus Lucas do Rio Verde</w:t>
      </w:r>
      <w:r>
        <w:rPr>
          <w:rFonts w:ascii="Calibri" w:hAnsi="Calibri"/>
          <w:color w:val="000000"/>
          <w:sz w:val="22"/>
          <w:szCs w:val="22"/>
        </w:rPr>
        <w:t xml:space="preserve"> - Avenida Universitária 1600-W - Bairro: Parque das Emas - CEP: 78455-000, Telefone: (65) 9686-6126, Lucas do Rio Verde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k) IFMT - </w:t>
      </w:r>
      <w:r>
        <w:rPr>
          <w:rFonts w:ascii="Calibri" w:hAnsi="Calibri"/>
          <w:b/>
          <w:bCs/>
          <w:color w:val="000000"/>
          <w:sz w:val="22"/>
          <w:szCs w:val="22"/>
        </w:rPr>
        <w:t>Campus Primavera do Leste</w:t>
      </w:r>
      <w:r>
        <w:rPr>
          <w:rFonts w:ascii="Calibri" w:hAnsi="Calibri"/>
          <w:color w:val="000000"/>
          <w:sz w:val="22"/>
          <w:szCs w:val="22"/>
        </w:rPr>
        <w:t xml:space="preserve"> - AVENIDA SANTO ANTÔNIO, Nº 1.075, Parque Eldorado – Primavera do Leste – MT. Telefone: (66)3498-2716.</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l) IFMT - </w:t>
      </w:r>
      <w:r>
        <w:rPr>
          <w:rFonts w:ascii="Calibri" w:hAnsi="Calibri"/>
          <w:b/>
          <w:bCs/>
          <w:color w:val="000000"/>
          <w:sz w:val="22"/>
          <w:szCs w:val="22"/>
        </w:rPr>
        <w:t>Campus Pontes e Lacerda</w:t>
      </w:r>
      <w:r>
        <w:rPr>
          <w:rFonts w:ascii="Calibri" w:hAnsi="Calibri"/>
          <w:color w:val="000000"/>
          <w:sz w:val="22"/>
          <w:szCs w:val="22"/>
        </w:rPr>
        <w:t xml:space="preserve"> - Rodovia MT-473, s/n - CEP: 78250-000, Telefone: (65) 32668200/3266-8241, Pontes e Lacerda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m) IFMT - </w:t>
      </w:r>
      <w:r>
        <w:rPr>
          <w:rFonts w:ascii="Calibri" w:hAnsi="Calibri"/>
          <w:b/>
          <w:bCs/>
          <w:color w:val="000000"/>
          <w:sz w:val="22"/>
          <w:szCs w:val="22"/>
        </w:rPr>
        <w:t>Campus Rondonópolis</w:t>
      </w:r>
      <w:r>
        <w:rPr>
          <w:rFonts w:ascii="Calibri" w:hAnsi="Calibri"/>
          <w:color w:val="000000"/>
          <w:sz w:val="22"/>
          <w:szCs w:val="22"/>
        </w:rPr>
        <w:t xml:space="preserve"> - Rua Ananias Martins de Souza, nº 861 – Vila Mineira, Rondonópolis – MT . Telefone: (66)3427-2309.</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n) IFMT - </w:t>
      </w:r>
      <w:r>
        <w:rPr>
          <w:rFonts w:ascii="Calibri" w:hAnsi="Calibri"/>
          <w:b/>
          <w:bCs/>
          <w:color w:val="000000"/>
          <w:sz w:val="22"/>
          <w:szCs w:val="22"/>
        </w:rPr>
        <w:t>Reitoria</w:t>
      </w:r>
      <w:r>
        <w:rPr>
          <w:rFonts w:ascii="Calibri" w:hAnsi="Calibri"/>
          <w:color w:val="000000"/>
          <w:sz w:val="22"/>
          <w:szCs w:val="22"/>
        </w:rPr>
        <w:t xml:space="preserve"> - Avenida Sen. Filinto Müller, 953 - Bairro: Duque de Caxias - CEP: 78043-400, Telefone: (65) 3616-4100, Cuiabá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o) IFMT - </w:t>
      </w:r>
      <w:r>
        <w:rPr>
          <w:rFonts w:ascii="Calibri" w:hAnsi="Calibri"/>
          <w:b/>
          <w:bCs/>
          <w:color w:val="000000"/>
          <w:sz w:val="22"/>
          <w:szCs w:val="22"/>
        </w:rPr>
        <w:t>Campus Sinop</w:t>
      </w:r>
      <w:r>
        <w:rPr>
          <w:rFonts w:ascii="Calibri" w:hAnsi="Calibri"/>
          <w:color w:val="000000"/>
          <w:sz w:val="22"/>
          <w:szCs w:val="22"/>
        </w:rPr>
        <w:t xml:space="preserve"> - Rua das Avencas, 2377, Setor Comercial, Centro - CEP: 78557-477-000, Telefone: (65) 9952-0013, Sinop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p) IFMT - </w:t>
      </w:r>
      <w:r>
        <w:rPr>
          <w:rFonts w:ascii="Calibri" w:hAnsi="Calibri"/>
          <w:b/>
          <w:bCs/>
          <w:color w:val="000000"/>
          <w:sz w:val="22"/>
          <w:szCs w:val="22"/>
        </w:rPr>
        <w:t>Campus Sorriso</w:t>
      </w:r>
      <w:r>
        <w:rPr>
          <w:rFonts w:ascii="Calibri" w:hAnsi="Calibri"/>
          <w:color w:val="000000"/>
          <w:sz w:val="22"/>
          <w:szCs w:val="22"/>
        </w:rPr>
        <w:t xml:space="preserve"> - Av. dos Universitários, 799, Bairro: Santa Clara - CEP: 78890-000, Telefone: (65) 9961-2297 - (65) 9985-6928, Sorriso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q) IFMT - </w:t>
      </w:r>
      <w:r>
        <w:rPr>
          <w:rFonts w:ascii="Calibri" w:hAnsi="Calibri"/>
          <w:b/>
          <w:bCs/>
          <w:color w:val="000000"/>
          <w:sz w:val="22"/>
          <w:szCs w:val="22"/>
        </w:rPr>
        <w:t xml:space="preserve">Campus São Vicente </w:t>
      </w:r>
      <w:r>
        <w:rPr>
          <w:rFonts w:ascii="Calibri" w:hAnsi="Calibri"/>
          <w:color w:val="000000"/>
          <w:sz w:val="22"/>
          <w:szCs w:val="22"/>
        </w:rPr>
        <w:t>- SVC - Rodovia BR 364, Km 329, Vila de São Vicente, Município de Santo Antonio do Leverger - MT, Telefone: (65) 3341-2110.</w:t>
      </w:r>
    </w:p>
    <w:p>
      <w:pPr>
        <w:pStyle w:val="style0"/>
        <w:widowControl/>
        <w:suppressAutoHyphens w:val="true"/>
        <w:spacing w:after="120" w:before="120" w:line="276" w:lineRule="auto"/>
        <w:ind w:hanging="0" w:left="1137"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r) IFMT - </w:t>
      </w:r>
      <w:r>
        <w:rPr>
          <w:rFonts w:ascii="Calibri" w:cs="Arial" w:hAnsi="Calibri"/>
          <w:b/>
          <w:bCs/>
          <w:iCs/>
          <w:color w:val="000000"/>
          <w:sz w:val="22"/>
          <w:szCs w:val="22"/>
        </w:rPr>
        <w:t>Campus Tangará da Serra</w:t>
      </w:r>
      <w:r>
        <w:rPr>
          <w:rFonts w:ascii="Calibri" w:cs="Arial" w:hAnsi="Calibri"/>
          <w:iCs/>
          <w:color w:val="000000"/>
          <w:sz w:val="22"/>
          <w:szCs w:val="22"/>
        </w:rPr>
        <w:t xml:space="preserve"> - Rua 28, 980 N - CEP: 78300-000, Telefone: (65) 3311-8500, Tangará da Serra / MT. </w:t>
      </w:r>
    </w:p>
    <w:p>
      <w:pPr>
        <w:pStyle w:val="style0"/>
        <w:widowControl/>
        <w:suppressAutoHyphens w:val="true"/>
        <w:spacing w:after="120" w:before="120" w:line="276" w:lineRule="auto"/>
        <w:ind w:hanging="0" w:left="1137"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s) IFMT – </w:t>
      </w:r>
      <w:r>
        <w:rPr>
          <w:rFonts w:ascii="Calibri" w:cs="Arial" w:hAnsi="Calibri"/>
          <w:b/>
          <w:bCs/>
          <w:iCs/>
          <w:color w:val="000000"/>
          <w:sz w:val="22"/>
          <w:szCs w:val="22"/>
        </w:rPr>
        <w:t>Campus Várzea Grande</w:t>
      </w:r>
      <w:r>
        <w:rPr>
          <w:rFonts w:ascii="Calibri" w:cs="Arial" w:hAnsi="Calibri"/>
          <w:iCs/>
          <w:color w:val="000000"/>
          <w:sz w:val="22"/>
          <w:szCs w:val="22"/>
        </w:rPr>
        <w:t xml:space="preserve"> – Avenida Tiradentes, nº 1300, Lot. Jardim Manaira, Petropolis, Varzea Grande – MT, CEP 78144-424;</w:t>
      </w:r>
    </w:p>
    <w:p>
      <w:pPr>
        <w:pStyle w:val="style0"/>
        <w:widowControl/>
        <w:suppressAutoHyphens w:val="true"/>
        <w:spacing w:after="120" w:before="120" w:line="276" w:lineRule="auto"/>
        <w:ind w:hanging="0" w:left="1137"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t) </w:t>
      </w:r>
      <w:bookmarkStart w:id="2" w:name="__DdeLink__5916_782231183"/>
      <w:r>
        <w:rPr>
          <w:rFonts w:ascii="Calibri" w:cs="Arial" w:hAnsi="Calibri"/>
          <w:b/>
          <w:bCs/>
          <w:iCs/>
          <w:color w:val="000000"/>
          <w:sz w:val="22"/>
          <w:szCs w:val="22"/>
        </w:rPr>
        <w:t>COMANDO DO EXERCITO – UASG 160163 - COMANDO DA 8. REGIAO MILITAR</w:t>
      </w:r>
      <w:r>
        <w:rPr>
          <w:rFonts w:ascii="Calibri" w:cs="Arial" w:hAnsi="Calibri"/>
          <w:iCs/>
          <w:color w:val="000000"/>
          <w:sz w:val="22"/>
          <w:szCs w:val="22"/>
        </w:rPr>
        <w:t xml:space="preserve"> - Rua João Diogo, NR  458 – Comércio – Belém/PA – CEP – 66020-000 – fone</w:t>
      </w:r>
      <w:bookmarkEnd w:id="2"/>
      <w:r>
        <w:rPr>
          <w:rFonts w:ascii="Calibri" w:cs="Arial" w:hAnsi="Calibri"/>
          <w:iCs/>
          <w:color w:val="000000"/>
          <w:sz w:val="22"/>
          <w:szCs w:val="22"/>
        </w:rPr>
        <w:t xml:space="preserve"> 91 3211-3758.</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 xml:space="preserve">Os bens serão recebidos provisoriamente no prazo de 20 (vinte) dias, pelo(a) responsável pelo acompanhamento e fiscalização do contrato, para efeito de posterior verificação de sua conformidade com as especificações constantes neste Termo de Referência e na proposta. </w:t>
      </w:r>
    </w:p>
    <w:p>
      <w:pPr>
        <w:pStyle w:val="style0"/>
        <w:numPr>
          <w:ilvl w:val="1"/>
          <w:numId w:val="1"/>
        </w:numPr>
        <w:spacing w:after="120" w:before="120" w:line="276" w:lineRule="auto"/>
        <w:ind w:hanging="432" w:left="1142" w:right="0"/>
        <w:contextualSpacing w:val="false"/>
        <w:jc w:val="both"/>
        <w:rPr>
          <w:rFonts w:ascii="Calibri" w:cs="Arial" w:hAnsi="Calibri"/>
          <w:bCs/>
          <w:color w:val="000000"/>
          <w:sz w:val="22"/>
          <w:szCs w:val="22"/>
        </w:rPr>
      </w:pPr>
      <w:r>
        <w:rPr>
          <w:rFonts w:ascii="Calibri" w:cs="Arial" w:hAnsi="Calibri"/>
          <w:bCs/>
          <w:color w:val="000000"/>
          <w:sz w:val="22"/>
          <w:szCs w:val="22"/>
        </w:rPr>
        <w:t>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Os bens serão recebidos definitivamente no prazo de 10 (dez) dias, contados do recebimento provisório, após a verificação da qualidade e quantidade do material e consequente aceitação mediante termo circunstanciado.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Na hipótese de a verificação a que se refere o subitem anterior não ser procedida dentro do prazo fixado, reputar-se-á como realizada, consumando-se o recebimento definitivo no dia do esgotamento do prazo.</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provisório ou definitivo do objeto não exclui a responsabilidade da contratada pelos prejuízos resultantes da incorreta execução do contrato.</w:t>
      </w:r>
    </w:p>
    <w:p>
      <w:pPr>
        <w:pStyle w:val="style0"/>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contratada, na qualidade de produtora, comerciante ou importadora, deverá providenciar o recolhimento e o adequado descarte do lixo tecnológico originário da contratação, entendido como aqueles produtos ou componentes em desuso e sujeitos à disposição final, para fins de sua destinação final ambientalmente adequada, conforme Lei nº 12.305/2010, e legislação correlata.</w:t>
      </w:r>
    </w:p>
    <w:p>
      <w:pPr>
        <w:pStyle w:val="style0"/>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Os cartuchos e toners deverão ser novos e de primeiro uso. Não serão aceitos materiais retintados, reciclados, recondicionados, remanufaturados, contrabandeados, pirateados ou falsificados.</w:t>
      </w:r>
    </w:p>
    <w:p>
      <w:pPr>
        <w:pStyle w:val="style0"/>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No caso de serem apresentadas propostas de materiais de marcas diferentes do equipamento a que se destinam, as licitantes deverão apresentar, obrigatoriamente, LAUDO DE ENSAIO DE EQUIVALÊNCIA emitido por laboratório certificado pelo Instituto Nacional de Metrologia, Normalização e Qualidade Industrial (INMETRO), que comprove o seu bom desempenho quando utilizados no mesmo.</w:t>
      </w:r>
    </w:p>
    <w:p>
      <w:pPr>
        <w:pStyle w:val="style0"/>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laudo de ensaio de equivalência deverá conter informações tais como os métodos e equipamentos utilizados para o ensaio, inclusive com o demonstrativo de resultado do mesmo, que comprovem a equivalência com o insumo original (da mesma marca do equipamento), contendo no mínimo:</w:t>
      </w:r>
    </w:p>
    <w:p>
      <w:pPr>
        <w:pStyle w:val="style0"/>
        <w:numPr>
          <w:ilvl w:val="2"/>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Avaliação da embalagem e acondicionamento do suprimento (cartucho ou toner); </w:t>
      </w:r>
    </w:p>
    <w:p>
      <w:pPr>
        <w:pStyle w:val="style0"/>
        <w:numPr>
          <w:ilvl w:val="2"/>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Quantidade de cópias não inferior ao número de cópias constantes na especificação do item do objeto a ser contratado;</w:t>
      </w:r>
    </w:p>
    <w:p>
      <w:pPr>
        <w:pStyle w:val="style0"/>
        <w:numPr>
          <w:ilvl w:val="2"/>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Qualidade do suprimento (cartucho ou toner), quanto a entupimento (ressecamento)</w:t>
      </w:r>
    </w:p>
    <w:p>
      <w:pPr>
        <w:pStyle w:val="style0"/>
        <w:numPr>
          <w:ilvl w:val="2"/>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e vazamento;</w:t>
      </w:r>
    </w:p>
    <w:p>
      <w:pPr>
        <w:pStyle w:val="style0"/>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laudo de ensaio de equivalência a ser apresentado a licitação pelas empresas que estiverem cotando suprimentos compatíveis com marcas distintas das produzidas pelas impressoras, deverá ser realizado, obrigatoriamente, por laboratório acreditado pelo INMETRO – Instituto Nacional de Metrologia, Normatização e Qualidade Industrial.</w:t>
      </w:r>
    </w:p>
    <w:p>
      <w:pPr>
        <w:pStyle w:val="style0"/>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Juntamente com o laudo de ensaio de equivalência a licitante deverá, obrigatoriamente, apresentar CERTIFICADO DE ACREDITAÇÃO dentro do prazo de validade, emitido pelo INMETRO para o respectivo laboratório.</w:t>
      </w:r>
    </w:p>
    <w:p>
      <w:pPr>
        <w:pStyle w:val="style0"/>
        <w:numPr>
          <w:ilvl w:val="2"/>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Caso não seja apresentado o laudo de ensaio de equivalência, os licitantes deverão apresentar, obrigatoriamente, atestado de homologação em português que deverá ser expedido pelo fabricante da impressora, na qual o material de marca diferente será utilizado. Este atestado deverá estar assinado por funcionário do fabricante, contendo no mínimo, nome do funcionário, cargo, CPF, endereço, telefone e e-mail.</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Serão observados os prazos de validade indicados pelos fabricantes.</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lang w:eastAsia="en-US"/>
        </w:rPr>
      </w:pPr>
      <w:r>
        <w:rPr>
          <w:rFonts w:ascii="Calibri" w:cs="Arial" w:hAnsi="Calibri"/>
          <w:color w:val="000000"/>
          <w:sz w:val="22"/>
          <w:szCs w:val="22"/>
          <w:shd w:fill="FFFFFF" w:val="clear"/>
          <w:lang w:eastAsia="en-US"/>
        </w:rPr>
        <w:t xml:space="preserve">Os materiais que possuírem validade deverão ser entregues com no mínimo 80% da validade indicada pelo fabricante vigente. </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shd w:fill="FFFFFF" w:val="clear"/>
          <w:lang w:eastAsia="en-US"/>
        </w:rPr>
      </w:pPr>
      <w:r>
        <w:rPr>
          <w:rFonts w:ascii="Calibri" w:cs="Arial" w:hAnsi="Calibri"/>
          <w:color w:val="000000"/>
          <w:sz w:val="22"/>
          <w:szCs w:val="22"/>
          <w:shd w:fill="FFFFFF" w:val="clear"/>
          <w:lang w:eastAsia="en-US"/>
        </w:rPr>
        <w:t xml:space="preserve">Os materiais que possuírem garantia deverão ser entregues com no mínimo 80% da garantia indicada pelo fabricante vigente. </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Não serão aceitos produtos com validade vencida ou com data de fabricação defasada que comprometa a sua plena utilização.</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Relativamente ao disposto no Edital, aplica-se também, subsidiariamente, no que couberem, as disposições do Código de Defesa do Consumidor, instituído pela Lei nº. 8.078, de 11 de setembro de 1990.</w:t>
      </w:r>
    </w:p>
    <w:p>
      <w:pPr>
        <w:pStyle w:val="style0"/>
        <w:widowControl/>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Os cartuchos de toners deverão estar de acordo com as normas definidas pela Portaria INMETRO n.º 18, de 16.01.2004, conforme art. 1º, que assim estabelece:</w:t>
        <w:br/>
        <w:t>“Art. 1º – A comercialização do produto “tinta para impressora”, acondicionado em cartucho, deverá ter sua indicação quantitativa expressa na embalagem, em unidades legais de volume, seus múltiplos e submúltiplos.</w:t>
        <w:br/>
        <w:t>Parágrafo Único – Quando o cartucho contiver tintas de cores diversas, a indicação do conteúdo nominal deverá expressar a totalidade do volume de tintas.”</w:t>
      </w:r>
    </w:p>
    <w:p>
      <w:pPr>
        <w:pStyle w:val="style0"/>
        <w:widowControl/>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contratada deverá destinar adequadamente e ambientalmente os resíduos dos cartuchos e tonners conforme previsão constante na Lei nº 12.205/2010;</w:t>
      </w:r>
    </w:p>
    <w:p>
      <w:pPr>
        <w:pStyle w:val="style0"/>
        <w:widowControl/>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CONTRATANTE poderá, sem ônus decorrente, aceitar modificações propostas pela CONTRATADA, com vistas ao aperfeiçoamento e exequibilidade do objeto licitado, no advento de algum fato novo ou qualquer imprevisto, as quais serão analisadas pela Administração.</w:t>
      </w:r>
    </w:p>
    <w:p>
      <w:pPr>
        <w:pStyle w:val="style0"/>
        <w:widowControl/>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embalagem deve ser individual fechada preferencialmente reciclável, atóxico e biodegradável.</w:t>
      </w:r>
    </w:p>
    <w:p>
      <w:pPr>
        <w:pStyle w:val="style0"/>
        <w:widowControl/>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embalagem deve conter manual de instalação e instruções em português;</w:t>
      </w:r>
    </w:p>
    <w:p>
      <w:pPr>
        <w:pStyle w:val="style0"/>
        <w:widowControl/>
        <w:numPr>
          <w:ilvl w:val="1"/>
          <w:numId w:val="1"/>
        </w:numPr>
        <w:spacing w:after="120" w:before="120" w:line="276" w:lineRule="auto"/>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Quaisquer dúvidas na interpretação deste Termo de Referência serão esclarecidas e suprimidas pelo Coordenador de Licitação do IFMT Campus São Vicente, situada à Rodovia BR 364, Km 329, Vila de São Vicente, Município de Santo Antônio do Lerverger-MT, telefone (65) 3341-2110 e e-mail: </w:t>
      </w:r>
      <w:hyperlink r:id="rId3">
        <w:r>
          <w:rPr>
            <w:rStyle w:val="style20"/>
            <w:rFonts w:ascii="Calibri" w:cs="Arial" w:hAnsi="Calibri"/>
            <w:color w:val="000000"/>
            <w:sz w:val="22"/>
            <w:szCs w:val="22"/>
            <w:lang w:eastAsia="en-US"/>
          </w:rPr>
          <w:t>cpl@svc.ifmt.edu.br</w:t>
        </w:r>
      </w:hyperlink>
      <w:r>
        <w:rPr>
          <w:rFonts w:ascii="Calibri" w:cs="Arial" w:hAnsi="Calibri"/>
          <w:color w:val="000000"/>
          <w:sz w:val="22"/>
          <w:szCs w:val="22"/>
          <w:lang w:eastAsia="en-US"/>
        </w:rPr>
        <w:t xml:space="preserve">. </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É vedado o fornecimento de qualquer produto em desacordo com as normas expedidas, pelos órgãos oficiais competentes ou, se normas especificadas não existirem, pela Associação Brasileira de Normas Técnicas ou outra entidade credenciada oficial.</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Os produtos poderão ser conferidos detalhadamente em momento posterior a sua entrega, reservando-se ao responsável pelo recebimento, o direito de rejeitá-los quando os produtos não satisfizerem as especificações exigidas na licitação.</w:t>
      </w:r>
    </w:p>
    <w:p>
      <w:pPr>
        <w:pStyle w:val="style0"/>
        <w:spacing w:after="120" w:before="0" w:line="276" w:lineRule="auto"/>
        <w:ind w:hanging="0" w:left="567" w:right="-15"/>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DAS OBRIGAÇÕES DA CONTRATANTE</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São obrigações da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Receber o objeto no prazo e condições estabelecidas no Edital e seus anexos;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Verificar minuciosamente, no prazo fixado, a conformidade dos bens recebidos provisoriamente com as especificações constantes do Edital e da proposta, para fins de aceitação e recebimento definitivo;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Contratada, por escrito, sobre imperfeições, falhas ou irregularidades verificadas no objeto fornecido, para que seja substituído, reparado ou corrigido;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Acompanhar e fiscalizar o cumprimento das obrigações da Contratada, através de comissão/servidor especialmente designado;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Efetuar o pagamento à Contratada</w:t>
      </w:r>
      <w:r>
        <w:rPr>
          <w:rFonts w:ascii="Calibri" w:cs="Arial" w:hAnsi="Calibri"/>
          <w:b/>
          <w:color w:val="000000"/>
          <w:sz w:val="22"/>
          <w:szCs w:val="22"/>
        </w:rPr>
        <w:t xml:space="preserve"> </w:t>
      </w:r>
      <w:r>
        <w:rPr>
          <w:rFonts w:ascii="Calibri" w:cs="Arial" w:hAnsi="Calibri"/>
          <w:color w:val="000000"/>
          <w:sz w:val="22"/>
          <w:szCs w:val="22"/>
        </w:rPr>
        <w:t>no valor correspondente ao fornecimento do objeto, no prazo e forma estabelecidos no Edital e seus anexos;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style0"/>
        <w:widowControl/>
        <w:numPr>
          <w:ilvl w:val="1"/>
          <w:numId w:val="1"/>
        </w:numPr>
        <w:tabs>
          <w:tab w:leader="none" w:pos="-10" w:val="left"/>
        </w:tabs>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realizará pesquisa de preços periodicamente, em prazo não superior a 180 (cento e oitenta) dias, a fim de verificar a vantajosidade dos preços registrados em Ata.</w:t>
      </w:r>
    </w:p>
    <w:p>
      <w:pPr>
        <w:pStyle w:val="style0"/>
        <w:widowControl/>
        <w:numPr>
          <w:ilvl w:val="0"/>
          <w:numId w:val="1"/>
        </w:numPr>
        <w:spacing w:after="120" w:before="0" w:line="276" w:lineRule="auto"/>
        <w:ind w:hanging="360" w:left="360" w:right="-21"/>
        <w:contextualSpacing w:val="false"/>
        <w:jc w:val="both"/>
        <w:rPr>
          <w:rFonts w:ascii="Calibri" w:cs="Arial" w:hAnsi="Calibri"/>
          <w:b/>
          <w:color w:val="000000"/>
          <w:sz w:val="22"/>
          <w:szCs w:val="22"/>
        </w:rPr>
      </w:pPr>
      <w:r>
        <w:rPr>
          <w:rFonts w:ascii="Calibri" w:cs="Arial" w:hAnsi="Calibri"/>
          <w:b/>
          <w:color w:val="000000"/>
          <w:sz w:val="22"/>
          <w:szCs w:val="22"/>
        </w:rPr>
        <w:t>OBRIGAÇÕES DA CONTRATADA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deve cumprir todas as obrigações constantes no Edital, seus anexos e sua proposta, assumindo como exclusivamente seus os riscos e as despesas decorrentes da boa e perfeita execução do objeto e, ainda:</w:t>
      </w:r>
    </w:p>
    <w:p>
      <w:pPr>
        <w:pStyle w:val="style0"/>
        <w:numPr>
          <w:ilvl w:val="2"/>
          <w:numId w:val="1"/>
        </w:numPr>
        <w:spacing w:after="120" w:before="120" w:line="276" w:lineRule="auto"/>
        <w:ind w:hanging="504" w:left="1639" w:right="0"/>
        <w:contextualSpacing w:val="false"/>
        <w:jc w:val="both"/>
        <w:rPr>
          <w:rFonts w:ascii="Calibri" w:cs="Arial" w:hAnsi="Calibri"/>
          <w:i/>
          <w:color w:val="000000"/>
          <w:sz w:val="22"/>
          <w:szCs w:val="22"/>
        </w:rPr>
      </w:pPr>
      <w:r>
        <w:rPr>
          <w:rFonts w:ascii="Calibri" w:cs="Arial" w:hAnsi="Calibri"/>
          <w:color w:val="000000"/>
          <w:sz w:val="22"/>
          <w:szCs w:val="22"/>
        </w:rPr>
        <w:t xml:space="preserve">Efetuar a entrega do objeto em perfeitas condições, conforme especificações, prazo e local constantes no Edital e seus anexos, acompanhado da respectiva nota fiscal, na qual constarão as indicações referentes a: </w:t>
      </w:r>
      <w:r>
        <w:rPr>
          <w:rFonts w:ascii="Calibri" w:cs="Arial" w:hAnsi="Calibri"/>
          <w:i/>
          <w:color w:val="000000"/>
          <w:sz w:val="22"/>
          <w:szCs w:val="22"/>
        </w:rPr>
        <w:t xml:space="preserve">marca, fabricante, modelo, procedência e prazo de validade;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Responsabilizar-se pelos vícios e danos decorrentes do objeto, de acordo com os artigos 12, 13 e 17 a 27, do Código de Defesa do Consumidor (Lei nº 8.078, de 1990);</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Substituir, reparar ou corrigir, às suas expensas, no prazo fixado neste Termo de Referência, o objeto com avarias ou defeitos;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Contratante, no prazo máximo de 24 (vinte e quatro) horas que antecede a data da entrega, os motivos que impossibilitem o cumprimento do prazo previsto, com a devida comprovação;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Manter, durante toda a execução do contrato, em compatibilidade com as obrigações assumidas, todas as condições de habilitação e qualificação exigidas na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Indicar preposto para representá-la durante a execução do contrato.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Entregar o material no Setor de Almoxarifado do respectivo órgão participante, em horário normal de expediente, das 8:00 às 17:00  horas, sendo que seu recebimento definitivo só será feito após aprovado e atestado.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Dar integral cumprimento ao Termo de Referência,</w:t>
      </w:r>
      <w:r>
        <w:rPr>
          <w:rFonts w:ascii="Calibri" w:hAnsi="Calibri"/>
          <w:b/>
          <w:bCs/>
          <w:color w:val="FF0000"/>
          <w:sz w:val="22"/>
          <w:szCs w:val="22"/>
        </w:rPr>
        <w:t xml:space="preserve"> </w:t>
      </w:r>
      <w:r>
        <w:rPr>
          <w:rFonts w:ascii="Calibri" w:hAnsi="Calibri"/>
          <w:color w:val="000000"/>
          <w:sz w:val="22"/>
          <w:szCs w:val="22"/>
        </w:rPr>
        <w:t>do Edital; Fornecer o material conforme qualidade e quantidades acordadas, dentro do prazo de validade, e entregar o termo de garantia de cada produto devidamente preenchido de acordo com as especificações e demais condições; Repor os materiais em que se verifiquem danos em decorrência do transporte, providenciando sua substituição no prazo máximo de 10 (dez) dias, contados da notificação que lhe for entregue oficialmente pela Contratante, sem ônus adicional para o IFMT;</w:t>
      </w:r>
    </w:p>
    <w:p>
      <w:pPr>
        <w:pStyle w:val="style0"/>
        <w:numPr>
          <w:ilvl w:val="2"/>
          <w:numId w:val="1"/>
        </w:numPr>
        <w:spacing w:after="120" w:before="120" w:line="276" w:lineRule="auto"/>
        <w:contextualSpacing w:val="false"/>
        <w:jc w:val="both"/>
        <w:rPr>
          <w:rFonts w:ascii="Liberation Serif" w:hAnsi="Liberation Serif"/>
          <w:color w:val="000000"/>
          <w:sz w:val="22"/>
          <w:szCs w:val="22"/>
        </w:rPr>
      </w:pPr>
      <w:r>
        <w:rPr>
          <w:rFonts w:ascii="Calibri" w:hAnsi="Calibri"/>
          <w:color w:val="000000"/>
          <w:sz w:val="22"/>
          <w:szCs w:val="22"/>
        </w:rPr>
        <w:t xml:space="preserve"> </w:t>
      </w:r>
      <w:r>
        <w:rPr>
          <w:rFonts w:ascii="Liberation Serif" w:hAnsi="Liberation Serif"/>
          <w:color w:val="000000"/>
          <w:sz w:val="22"/>
          <w:szCs w:val="22"/>
        </w:rPr>
        <w:t>Responsabilizar-se pelo fornecimento parcelado, conforme a estrita exigência do Edital e especificações deste Termo de Referência;</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Responder por todo o ônus referente ao fornecimento, como transporte, embalagens, e também os encargos trabalhistas, previdenciários, comerciais e salários dos seus empregados.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Colocar à disposição da contratante todos os meios necessários para comprovação da qualidade dos materiais fornecidos, permitindo a verificação de sua conformidade com as especificações e exigências do Edital e seus anexos.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pPr>
        <w:pStyle w:val="style0"/>
        <w:widowControl/>
        <w:numPr>
          <w:ilvl w:val="2"/>
          <w:numId w:val="1"/>
        </w:numPr>
        <w:spacing w:after="120" w:before="120" w:line="276" w:lineRule="auto"/>
        <w:ind w:hanging="504" w:left="1639" w:right="0"/>
        <w:contextualSpacing w:val="false"/>
        <w:jc w:val="both"/>
        <w:rPr>
          <w:rFonts w:ascii="Calibri" w:cs="Calibri" w:hAnsi="Calibri"/>
          <w:color w:val="000000"/>
          <w:sz w:val="22"/>
          <w:szCs w:val="22"/>
          <w:shd w:fill="FFFFFF" w:val="clear"/>
        </w:rPr>
      </w:pPr>
      <w:r>
        <w:rPr>
          <w:rFonts w:ascii="Calibri" w:cs="Calibri" w:hAnsi="Calibri"/>
          <w:color w:val="000000"/>
          <w:sz w:val="22"/>
          <w:szCs w:val="22"/>
          <w:shd w:fill="FFFFFF" w:val="clear"/>
        </w:rPr>
        <w:t>A contratada, na qualidade de produtora, comerciante ou importadora, deverá providenciar o recolhimento e o adequado descarte do lixo tecnológico originário da contratação, entendido como aqueles produtos ou componentes em desuso e sujeitos à disposição final, para fins de sua destinação final ambientalmente adequada, conforme Lei nº 12.305/2010, e legislação correlata.</w:t>
      </w:r>
    </w:p>
    <w:p>
      <w:pPr>
        <w:pStyle w:val="style0"/>
        <w:widowControl/>
        <w:spacing w:after="120" w:before="120" w:line="276" w:lineRule="auto"/>
        <w:ind w:hanging="0" w:left="616"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SUBCONTRATAÇÃO</w:t>
      </w:r>
    </w:p>
    <w:p>
      <w:pPr>
        <w:pStyle w:val="style0"/>
        <w:widowControl/>
        <w:spacing w:after="120" w:before="120" w:line="276" w:lineRule="auto"/>
        <w:ind w:hanging="0" w:left="21" w:right="0"/>
        <w:contextualSpacing w:val="false"/>
        <w:jc w:val="both"/>
        <w:rPr>
          <w:rFonts w:ascii="Calibri" w:cs="Arial" w:hAnsi="Calibri"/>
          <w:i/>
          <w:color w:val="000000"/>
          <w:sz w:val="22"/>
          <w:szCs w:val="22"/>
        </w:rPr>
      </w:pPr>
      <w:r>
        <w:rPr>
          <w:rFonts w:ascii="Calibri" w:cs="Arial" w:hAnsi="Calibri"/>
          <w:i/>
          <w:color w:val="000000"/>
          <w:sz w:val="22"/>
          <w:szCs w:val="22"/>
        </w:rPr>
        <w:t>7.1 Não será admitida a subcontratação do objeto licitatório.</w:t>
      </w:r>
    </w:p>
    <w:p>
      <w:pPr>
        <w:pStyle w:val="style0"/>
        <w:spacing w:after="120" w:before="120" w:line="276" w:lineRule="auto"/>
        <w:ind w:hanging="0" w:left="425" w:right="0"/>
        <w:contextualSpacing w:val="false"/>
        <w:jc w:val="both"/>
        <w:rPr>
          <w:rFonts w:ascii="Calibri" w:hAnsi="Calibri"/>
          <w:color w:val="000000"/>
          <w:sz w:val="22"/>
          <w:szCs w:val="22"/>
        </w:rPr>
      </w:pPr>
      <w:r>
        <w:rPr>
          <w:rFonts w:ascii="Calibri" w:hAnsi="Calibri"/>
          <w:color w:val="000000"/>
          <w:sz w:val="22"/>
          <w:szCs w:val="22"/>
        </w:rPr>
      </w:r>
    </w:p>
    <w:p>
      <w:pPr>
        <w:pStyle w:val="style0"/>
        <w:widowControl/>
        <w:numPr>
          <w:ilvl w:val="0"/>
          <w:numId w:val="1"/>
        </w:numPr>
        <w:spacing w:after="120" w:before="0" w:line="276" w:lineRule="auto"/>
        <w:ind w:hanging="360" w:left="360" w:right="-21"/>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ALTERAÇÃO SUBJETIVA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style0"/>
        <w:spacing w:after="120" w:before="120" w:line="276" w:lineRule="auto"/>
        <w:ind w:hanging="0" w:left="425"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CONTROLE DA EXECUÇÃO</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de material de valor superior a R$ 80.000,00 (oitenta mil reais) será confiado a uma comissão de, no mínimo, 3 (três) membros, designados pela autoridade competente.</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 fiscalização de que trata este item não exclui nem reduz a </w:t>
      </w:r>
      <w:r>
        <w:rPr>
          <w:rFonts w:ascii="Calibri" w:cs="Arial" w:hAnsi="Calibri"/>
          <w:color w:val="000000"/>
          <w:sz w:val="22"/>
          <w:szCs w:val="22"/>
        </w:rPr>
        <w:t>responsabilidade</w:t>
      </w:r>
      <w:r>
        <w:rPr>
          <w:rFonts w:ascii="Calibri" w:cs="Arial" w:hAnsi="Calibri"/>
          <w:color w:val="000000"/>
          <w:sz w:val="22"/>
          <w:szCs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style0"/>
        <w:spacing w:after="120" w:before="0" w:line="276" w:lineRule="auto"/>
        <w:ind w:hanging="0" w:left="540"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Comete infração administrativa nos termos da Lei nº 8.666, de 1993 e da Lei nº 10.520, de 2002, a Contratada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Inexecutar total ou parcialmente qualquer das obrigações assumidas em decorrência da contratação;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Ensejar o retardamento da execução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Fraudar na execução do contrato;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Comportar-se de modo inidôneo;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Cometer fraude fiscal;</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Não mantiver a proposta.</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que cometer qualquer das infrações discriminadas no subitem acima ficará sujeita, sem prejuízo da responsabilidade civil e criminal, às seguintes sanções: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Advertência por faltas leves, assim entendidas aquelas que não acarretem prejuízos significativos para 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moratória de 0,2% (zero vírgula dois por cento) por dia de atraso injustificado sobre o valor da parcela inadimplida, até o limite de 25 (vinte e cinco) dias;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compensatória de 10% (dez por cento) sobre o valor total do contrato, no caso de inexecução total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Em caso de inexecução parcial, a multa compensatória, no mesmo percentual do subitem acima, será aplicada de forma proporcional à obrigação inadimplida;</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Suspensão de licitar e impedimento de contratar com o órgão, entidade ou unidade administrativa pela qual a Administração Pública opera e atua concretamente, pelo prazo de até dois anos;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Impedimento de licitar e contratar com a União com o consequente descredenciamento no SICAF pelo prazo de até cinco anos;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Também ficam sujeitas às penalidades do art. 87, III e IV da Lei nº 8.666, de 1993, as empresas e os profissionais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sofrido condenação definitiva por praticar, por meio dolosos, fraude fiscal no recolhimento de quaisquer tributos;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praticado atos ilícitos visando a frustrar os objetivos da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Demonstrem não possuir idoneidade para contratar com a Administração em virtude de atos ilícitos praticados.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360" w:before="0"/>
        <w:ind w:hanging="0" w:left="360" w:right="0"/>
        <w:contextualSpacing w:val="false"/>
        <w:rPr>
          <w:rFonts w:ascii="Calibri" w:cs="Arial" w:hAnsi="Calibri"/>
          <w:color w:val="000000"/>
          <w:sz w:val="22"/>
          <w:szCs w:val="22"/>
        </w:rPr>
      </w:pPr>
      <w:r>
        <w:rPr>
          <w:rFonts w:ascii="Calibri" w:cs="Arial" w:hAnsi="Calibri"/>
          <w:b/>
          <w:bCs/>
          <w:i/>
          <w:color w:val="000000"/>
          <w:sz w:val="22"/>
          <w:szCs w:val="22"/>
        </w:rPr>
        <w:t>São Vicente da Serra - MT</w:t>
      </w:r>
      <w:r>
        <w:rPr>
          <w:rFonts w:ascii="Calibri" w:cs="Arial" w:hAnsi="Calibri"/>
          <w:b/>
          <w:bCs/>
          <w:color w:val="000000"/>
          <w:sz w:val="22"/>
          <w:szCs w:val="22"/>
        </w:rPr>
        <w:t xml:space="preserve"> 08 de agosto de 2017</w:t>
      </w:r>
      <w:r>
        <w:rPr>
          <w:rFonts w:ascii="Calibri" w:cs="Arial" w:hAnsi="Calibri"/>
          <w:color w:val="000000"/>
          <w:sz w:val="22"/>
          <w:szCs w:val="22"/>
        </w:rPr>
        <w:t xml:space="preserve">. </w:t>
      </w:r>
    </w:p>
    <w:p>
      <w:pPr>
        <w:pStyle w:val="style65"/>
        <w:jc w:val="center"/>
        <w:rPr>
          <w:rFonts w:ascii="Calibri" w:cs="Arial" w:hAnsi="Calibri"/>
          <w:b/>
          <w:bCs/>
          <w:color w:val="000000"/>
          <w:sz w:val="22"/>
          <w:szCs w:val="22"/>
        </w:rPr>
      </w:pPr>
      <w:r>
        <w:rPr>
          <w:rFonts w:ascii="Calibri" w:cs="Arial" w:hAnsi="Calibri"/>
          <w:b/>
          <w:bCs/>
          <w:color w:val="000000"/>
          <w:sz w:val="22"/>
          <w:szCs w:val="22"/>
        </w:rPr>
      </w:r>
    </w:p>
    <w:p>
      <w:pPr>
        <w:pStyle w:val="style65"/>
        <w:jc w:val="center"/>
        <w:rPr>
          <w:rFonts w:ascii="Calibri" w:cs="Arial" w:hAnsi="Calibri"/>
          <w:b/>
          <w:bCs/>
          <w:color w:val="000000"/>
          <w:sz w:val="22"/>
          <w:szCs w:val="22"/>
        </w:rPr>
      </w:pPr>
      <w:r>
        <w:rPr>
          <w:rFonts w:ascii="Calibri" w:cs="Arial" w:hAnsi="Calibri"/>
          <w:b/>
          <w:bCs/>
          <w:color w:val="000000"/>
          <w:sz w:val="22"/>
          <w:szCs w:val="22"/>
        </w:rPr>
        <w:t>OSVALDO MARTINS CAPELANI</w:t>
      </w:r>
    </w:p>
    <w:p>
      <w:pPr>
        <w:pStyle w:val="style65"/>
        <w:jc w:val="center"/>
        <w:rPr>
          <w:rFonts w:ascii="Calibri" w:cs="Arial" w:hAnsi="Calibri"/>
          <w:b/>
          <w:bCs/>
          <w:color w:val="000000"/>
          <w:sz w:val="22"/>
          <w:szCs w:val="22"/>
        </w:rPr>
      </w:pPr>
      <w:r>
        <w:rPr>
          <w:rFonts w:ascii="Calibri" w:cs="Arial" w:hAnsi="Calibri"/>
          <w:b/>
          <w:bCs/>
          <w:color w:val="000000"/>
          <w:sz w:val="22"/>
          <w:szCs w:val="22"/>
        </w:rPr>
        <w:t>Coordenador de Tecnologia da Informação</w:t>
      </w:r>
    </w:p>
    <w:p>
      <w:pPr>
        <w:pStyle w:val="style65"/>
        <w:jc w:val="center"/>
        <w:rPr>
          <w:rFonts w:ascii="Calibri" w:cs="Arial" w:hAnsi="Calibri"/>
          <w:color w:val="000000"/>
          <w:sz w:val="22"/>
          <w:szCs w:val="22"/>
        </w:rPr>
      </w:pPr>
      <w:r>
        <w:rPr>
          <w:rFonts w:ascii="Calibri" w:cs="Arial" w:hAnsi="Calibri"/>
          <w:color w:val="000000"/>
          <w:sz w:val="22"/>
          <w:szCs w:val="22"/>
        </w:rPr>
      </w:r>
    </w:p>
    <w:p>
      <w:pPr>
        <w:pStyle w:val="style65"/>
        <w:jc w:val="center"/>
        <w:rPr>
          <w:rFonts w:ascii="Calibri" w:cs="Arial" w:hAnsi="Calibri"/>
          <w:b/>
          <w:color w:val="000000"/>
          <w:sz w:val="22"/>
          <w:szCs w:val="22"/>
        </w:rPr>
      </w:pPr>
      <w:r>
        <w:rPr>
          <w:rFonts w:ascii="Calibri" w:cs="Arial" w:hAnsi="Calibri"/>
          <w:b/>
          <w:color w:val="000000"/>
          <w:sz w:val="22"/>
          <w:szCs w:val="22"/>
        </w:rPr>
        <w:t>FRANCIELLY KAROLINE AIRES CARLINI</w:t>
      </w:r>
    </w:p>
    <w:p>
      <w:pPr>
        <w:pStyle w:val="style65"/>
        <w:jc w:val="center"/>
        <w:rPr>
          <w:rFonts w:ascii="Calibri" w:cs="Arial" w:hAnsi="Calibri"/>
          <w:b/>
          <w:bCs/>
          <w:color w:val="000000"/>
          <w:sz w:val="22"/>
          <w:szCs w:val="22"/>
        </w:rPr>
      </w:pPr>
      <w:r>
        <w:rPr>
          <w:rFonts w:ascii="Calibri" w:cs="Arial" w:hAnsi="Calibri"/>
          <w:b/>
          <w:bCs/>
          <w:color w:val="000000"/>
          <w:sz w:val="22"/>
          <w:szCs w:val="22"/>
        </w:rPr>
        <w:t>Diretora de Administração e Planejamento</w:t>
      </w:r>
    </w:p>
    <w:p>
      <w:pPr>
        <w:pStyle w:val="style0"/>
        <w:jc w:val="center"/>
        <w:rPr>
          <w:rFonts w:ascii="Calibri" w:cs="Arial" w:hAnsi="Calibri"/>
          <w:color w:val="000000"/>
          <w:sz w:val="22"/>
          <w:szCs w:val="22"/>
        </w:rPr>
      </w:pPr>
      <w:r>
        <w:rPr>
          <w:rFonts w:ascii="Calibri" w:cs="Arial" w:hAnsi="Calibri"/>
          <w:color w:val="000000"/>
          <w:sz w:val="22"/>
          <w:szCs w:val="22"/>
        </w:rPr>
      </w:r>
    </w:p>
    <w:p>
      <w:pPr>
        <w:pStyle w:val="style65"/>
        <w:rPr>
          <w:rFonts w:ascii="Calibri" w:cs="Arial" w:hAnsi="Calibri"/>
          <w:color w:val="000000"/>
          <w:sz w:val="22"/>
          <w:szCs w:val="22"/>
        </w:rPr>
      </w:pPr>
      <w:r>
        <w:rPr>
          <w:rFonts w:ascii="Calibri" w:cs="Arial" w:hAnsi="Calibri"/>
          <w:color w:val="000000"/>
          <w:sz w:val="22"/>
          <w:szCs w:val="22"/>
        </w:rPr>
        <w:t>Aprovo o presente Termo de Referência e autorizo a continuidade do Processo. Desde que se obedeçam as formalidades legais, bem como as estabelecidas neste Termo de Referência.</w:t>
      </w:r>
    </w:p>
    <w:p>
      <w:pPr>
        <w:pStyle w:val="style0"/>
        <w:jc w:val="both"/>
        <w:rPr>
          <w:rFonts w:ascii="Calibri" w:cs="Arial" w:hAnsi="Calibri"/>
          <w:color w:val="000000"/>
          <w:sz w:val="22"/>
          <w:szCs w:val="22"/>
        </w:rPr>
      </w:pPr>
      <w:r>
        <w:rPr>
          <w:rFonts w:ascii="Calibri" w:cs="Arial" w:hAnsi="Calibri"/>
          <w:color w:val="000000"/>
          <w:sz w:val="22"/>
          <w:szCs w:val="22"/>
        </w:rPr>
      </w:r>
    </w:p>
    <w:p>
      <w:pPr>
        <w:pStyle w:val="style0"/>
        <w:jc w:val="both"/>
        <w:rPr>
          <w:rFonts w:ascii="Calibri" w:cs="Arial" w:hAnsi="Calibri"/>
          <w:color w:val="000000"/>
          <w:sz w:val="22"/>
          <w:szCs w:val="22"/>
        </w:rPr>
      </w:pPr>
      <w:r>
        <w:rPr>
          <w:rFonts w:ascii="Calibri" w:cs="Arial" w:hAnsi="Calibri"/>
          <w:color w:val="000000"/>
          <w:sz w:val="22"/>
          <w:szCs w:val="22"/>
        </w:rPr>
        <w:t>Em, ______/______/_____</w:t>
      </w:r>
    </w:p>
    <w:p>
      <w:pPr>
        <w:pStyle w:val="style65"/>
        <w:jc w:val="center"/>
        <w:rPr>
          <w:rFonts w:ascii="Calibri" w:cs="Arial" w:hAnsi="Calibri"/>
          <w:color w:val="000000"/>
          <w:sz w:val="22"/>
          <w:szCs w:val="22"/>
        </w:rPr>
      </w:pPr>
      <w:r>
        <w:rPr>
          <w:rFonts w:ascii="Calibri" w:cs="Arial" w:hAnsi="Calibri"/>
          <w:color w:val="000000"/>
          <w:sz w:val="22"/>
          <w:szCs w:val="22"/>
        </w:rPr>
      </w:r>
    </w:p>
    <w:p>
      <w:pPr>
        <w:pStyle w:val="style65"/>
        <w:jc w:val="center"/>
        <w:rPr>
          <w:rFonts w:ascii="Calibri" w:cs="Arial" w:hAnsi="Calibri"/>
          <w:b/>
          <w:bCs/>
          <w:color w:val="000000"/>
          <w:sz w:val="22"/>
          <w:szCs w:val="22"/>
        </w:rPr>
      </w:pPr>
      <w:r>
        <w:rPr>
          <w:rFonts w:ascii="Calibri" w:cs="Arial" w:hAnsi="Calibri"/>
          <w:b/>
          <w:bCs/>
          <w:color w:val="000000"/>
          <w:sz w:val="22"/>
          <w:szCs w:val="22"/>
        </w:rPr>
        <w:t>LIVIO DOS SANTOS WOGEL</w:t>
      </w:r>
    </w:p>
    <w:p>
      <w:pPr>
        <w:pStyle w:val="style0"/>
        <w:spacing w:after="360" w:before="0"/>
        <w:ind w:hanging="0" w:left="360" w:right="0"/>
        <w:contextualSpacing w:val="false"/>
        <w:jc w:val="center"/>
        <w:rPr>
          <w:rFonts w:ascii="Calibri" w:cs="Arial" w:hAnsi="Calibri"/>
          <w:b/>
          <w:bCs/>
          <w:sz w:val="22"/>
          <w:szCs w:val="22"/>
        </w:rPr>
      </w:pPr>
      <w:r>
        <w:rPr>
          <w:rFonts w:ascii="Calibri" w:cs="Arial" w:hAnsi="Calibri"/>
          <w:b/>
          <w:bCs/>
          <w:sz w:val="22"/>
          <w:szCs w:val="22"/>
        </w:rPr>
        <w:t>Diretor-Geral IFMT – Campus São Vicente</w:t>
      </w:r>
    </w:p>
    <w:p>
      <w:pPr>
        <w:pStyle w:val="style0"/>
        <w:spacing w:after="360" w:before="0"/>
        <w:ind w:hanging="0" w:left="360" w:right="0"/>
        <w:contextualSpacing w:val="false"/>
        <w:rPr>
          <w:rFonts w:ascii="Calibri" w:cs="Arial" w:hAnsi="Calibri"/>
          <w:sz w:val="22"/>
          <w:szCs w:val="22"/>
        </w:rPr>
      </w:pPr>
      <w:r>
        <w:rPr>
          <w:rFonts w:ascii="Calibri" w:cs="Arial" w:hAnsi="Calibri"/>
          <w:sz w:val="22"/>
          <w:szCs w:val="22"/>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4"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Calibri">
    <w:charset w:val="00"/>
    <w:family w:val="roman"/>
    <w:pitch w:val="variable"/>
  </w:font>
  <w:font w:name="Liberation Serif">
    <w:altName w:val="Times New Roman"/>
    <w:charset w:val="00"/>
    <w:family w:val="roman"/>
    <w:pitch w:val="variable"/>
  </w:font>
  <w:font w:name="Liberation Sans">
    <w:altName w:val="Arial"/>
    <w:charset w:val="00"/>
    <w:family w:val="roman"/>
    <w:pitch w:val="variable"/>
  </w:font>
  <w:font w:name="FreeSans">
    <w:charset w:val="00"/>
    <w:family w:val="roman"/>
    <w:pitch w:val="variable"/>
  </w:font>
  <w:font w:name="TimesNewRomanPSM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78"/>
      <w:rPr>
        <w:rFonts w:ascii="Times New Roman" w:cs="Times New Roman" w:hAnsi="Times New Roman"/>
      </w:rPr>
    </w:pPr>
    <w:r>
      <w:rPr>
        <w:rFonts w:ascii="Times New Roman" w:cs="Times New Roman" w:hAnsi="Times New Roman"/>
      </w:rPr>
      <w:t>__________________________________________________________________</w:t>
    </w:r>
  </w:p>
  <w:p>
    <w:pPr>
      <w:pStyle w:val="style78"/>
      <w:rPr>
        <w:rFonts w:cs="Arial"/>
        <w:sz w:val="12"/>
        <w:szCs w:val="12"/>
      </w:rPr>
    </w:pPr>
    <w:r>
      <w:rPr>
        <w:rFonts w:cs="Arial"/>
        <w:sz w:val="12"/>
        <w:szCs w:val="12"/>
      </w:rPr>
      <w:t>Comissão Permanente de Atualização de Editais da Consultoria-Geral da União</w:t>
    </w:r>
  </w:p>
  <w:p>
    <w:pPr>
      <w:pStyle w:val="style78"/>
      <w:rPr>
        <w:rFonts w:cs="Arial"/>
        <w:sz w:val="12"/>
        <w:szCs w:val="12"/>
      </w:rPr>
    </w:pPr>
    <w:r>
      <w:rPr>
        <w:rFonts w:cs="Arial"/>
        <w:sz w:val="12"/>
        <w:szCs w:val="12"/>
      </w:rPr>
      <w:t>Termo de Referência - Modelo para SRP Pregão Eletrônico – Compras</w:t>
    </w:r>
  </w:p>
  <w:p>
    <w:pPr>
      <w:pStyle w:val="style78"/>
      <w:rPr>
        <w:rFonts w:cs="Arial"/>
        <w:sz w:val="12"/>
        <w:szCs w:val="12"/>
      </w:rPr>
    </w:pPr>
    <w:r>
      <w:rPr>
        <w:rFonts w:cs="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sz w:val="24"/>
        <w:b/>
        <w:szCs w:val="24"/>
      </w:rPr>
    </w:lvl>
    <w:lvl w:ilvl="1">
      <w:start w:val="1"/>
      <w:numFmt w:val="decimal"/>
      <w:lvlText w:val="%1.%2."/>
      <w:lvlJc w:val="left"/>
      <w:pPr>
        <w:ind w:hanging="432" w:left="1142"/>
      </w:pPr>
      <w:rPr>
        <w:color w:val="00000A"/>
        <w:sz w:val="22"/>
        <w:i w:val="false"/>
        <w:b w:val="false"/>
        <w:szCs w:val="22"/>
      </w:rPr>
    </w:lvl>
    <w:lvl w:ilvl="2">
      <w:start w:val="1"/>
      <w:numFmt w:val="decimal"/>
      <w:lvlText w:val="%1.%2.%3."/>
      <w:lvlJc w:val="left"/>
      <w:pPr>
        <w:ind w:hanging="504" w:left="1639"/>
      </w:pPr>
      <w:rPr>
        <w:color w:val="00000A"/>
        <w:sz w:val="22"/>
        <w:i w:val="false"/>
        <w:b w:val="false"/>
        <w:szCs w:val="22"/>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15"/>
  <w:defaultTabStop w:val="720"/>
</w:settings>
</file>

<file path=word/styles.xml><?xml version="1.0" encoding="utf-8"?>
<w:styles xmlns:w="http://schemas.openxmlformats.org/wordprocessingml/2006/main">
  <w:style w:styleId="style0" w:type="paragraph">
    <w:name w:val="Normal"/>
    <w:next w:val="style0"/>
    <w:pPr>
      <w:widowControl/>
      <w:suppressAutoHyphens w:val="true"/>
    </w:pPr>
    <w:rPr>
      <w:rFonts w:ascii="Arial" w:cs="Tahoma" w:eastAsia="Times New Roman" w:hAnsi="Arial"/>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Grade Colorida - Ênfase 1 Char"/>
    <w:next w:val="style21"/>
    <w:rPr>
      <w:rFonts w:ascii="Ecofont_Spranq_eco_Sans" w:cs="Tahoma" w:eastAsia="Calibri" w:hAnsi="Ecofont_Spranq_eco_Sans"/>
      <w:i/>
      <w:iCs/>
      <w:color w:val="000000"/>
      <w:szCs w:val="24"/>
      <w:shd w:fill="FFFFCC" w:val="clear"/>
      <w:lang w:eastAsia="en-US"/>
    </w:rPr>
  </w:style>
  <w:style w:styleId="style22" w:type="character">
    <w:name w:val="citação 2 Char"/>
    <w:basedOn w:val="style21"/>
    <w:next w:val="style22"/>
    <w:rPr>
      <w:rFonts w:ascii="Ecofont_Spranq_eco_Sans" w:cs="Tahoma" w:eastAsia="Calibri" w:hAnsi="Ecofont_Spranq_eco_Sans"/>
      <w:i/>
      <w:iCs/>
      <w:color w:val="000000"/>
      <w:szCs w:val="24"/>
      <w:shd w:fill="FFFFCC" w:val="clear"/>
      <w:lang w:eastAsia="en-US"/>
    </w:rPr>
  </w:style>
  <w:style w:styleId="style23" w:type="character">
    <w:name w:val="Quote Char"/>
    <w:basedOn w:val="style15"/>
    <w:next w:val="style23"/>
    <w:rPr>
      <w:rFonts w:ascii="Ecofont_Spranq_eco_Sans" w:eastAsia="Calibri" w:hAnsi="Ecofont_Spranq_eco_Sans"/>
      <w:i/>
      <w:iCs/>
      <w:color w:val="000000"/>
      <w:szCs w:val="24"/>
      <w:shd w:fill="FFFFCC" w:val="clear"/>
      <w:lang w:eastAsia="en-US" w:val="pt-BR"/>
    </w:rPr>
  </w:style>
  <w:style w:styleId="style24" w:type="character">
    <w:name w:val="Header Char"/>
    <w:basedOn w:val="style15"/>
    <w:next w:val="style24"/>
    <w:rPr>
      <w:rFonts w:ascii="Ecofont_Spranq_eco_Sans" w:cs="Tahoma" w:hAnsi="Ecofont_Spranq_eco_Sans"/>
      <w:sz w:val="24"/>
      <w:szCs w:val="24"/>
    </w:rPr>
  </w:style>
  <w:style w:styleId="style25" w:type="character">
    <w:name w:val="Footer Char"/>
    <w:basedOn w:val="style15"/>
    <w:next w:val="style25"/>
    <w:rPr>
      <w:rFonts w:ascii="Ecofont_Spranq_eco_Sans" w:cs="Tahoma" w:hAnsi="Ecofont_Spranq_eco_Sans"/>
      <w:sz w:val="24"/>
      <w:szCs w:val="24"/>
    </w:rPr>
  </w:style>
  <w:style w:styleId="style26" w:type="character">
    <w:name w:val="Heading 1 Char"/>
    <w:basedOn w:val="style15"/>
    <w:next w:val="style26"/>
    <w:rPr>
      <w:rFonts w:ascii="Cambria" w:cs="" w:hAnsi="Cambria"/>
      <w:color w:val="365F91"/>
      <w:sz w:val="32"/>
      <w:szCs w:val="32"/>
    </w:rPr>
  </w:style>
  <w:style w:styleId="style27" w:type="character">
    <w:name w:val="annotation reference"/>
    <w:basedOn w:val="style15"/>
    <w:next w:val="style27"/>
    <w:rPr>
      <w:sz w:val="18"/>
      <w:szCs w:val="18"/>
    </w:rPr>
  </w:style>
  <w:style w:styleId="style28" w:type="character">
    <w:name w:val="Comment Text Char"/>
    <w:basedOn w:val="style15"/>
    <w:next w:val="style28"/>
    <w:rPr>
      <w:rFonts w:ascii="Arial" w:cs="Tahoma" w:hAnsi="Arial"/>
      <w:sz w:val="24"/>
      <w:szCs w:val="24"/>
    </w:rPr>
  </w:style>
  <w:style w:styleId="style29" w:type="character">
    <w:name w:val="ListLabel 1"/>
    <w:next w:val="style29"/>
    <w:rPr>
      <w:b/>
    </w:rPr>
  </w:style>
  <w:style w:styleId="style30" w:type="character">
    <w:name w:val="ListLabel 2"/>
    <w:next w:val="style30"/>
    <w:rPr>
      <w:b w:val="false"/>
      <w:i w:val="false"/>
      <w:color w:val="00000A"/>
    </w:rPr>
  </w:style>
  <w:style w:styleId="style31" w:type="character">
    <w:name w:val="ListLabel 3"/>
    <w:next w:val="style31"/>
    <w:rPr>
      <w:rFonts w:eastAsia="Arial Unicode MS"/>
    </w:rPr>
  </w:style>
  <w:style w:styleId="style32" w:type="character">
    <w:name w:val="ListLabel 4"/>
    <w:next w:val="style32"/>
    <w:rPr>
      <w:rFonts w:cs="Arial"/>
      <w:i/>
      <w:color w:val="FF0000"/>
    </w:rPr>
  </w:style>
  <w:style w:styleId="style33" w:type="character">
    <w:name w:val="ListLabel 5"/>
    <w:next w:val="style33"/>
    <w:rPr>
      <w:color w:val="0000FF"/>
    </w:rPr>
  </w:style>
  <w:style w:styleId="style34" w:type="character">
    <w:name w:val="ListLabel 6"/>
    <w:next w:val="style34"/>
    <w:rPr>
      <w:b w:val="false"/>
    </w:rPr>
  </w:style>
  <w:style w:styleId="style35" w:type="character">
    <w:name w:val="ListLabel 7"/>
    <w:next w:val="style35"/>
    <w:rPr>
      <w:b/>
      <w:i w:val="false"/>
    </w:rPr>
  </w:style>
  <w:style w:styleId="style36" w:type="character">
    <w:name w:val="ListLabel 8"/>
    <w:next w:val="style36"/>
    <w:rPr>
      <w:b/>
      <w:i w:val="false"/>
      <w:color w:val="00000A"/>
    </w:rPr>
  </w:style>
  <w:style w:styleId="style37" w:type="character">
    <w:name w:val="ListLabel 9"/>
    <w:next w:val="style37"/>
    <w:rPr>
      <w:b w:val="false"/>
      <w:i w:val="false"/>
    </w:rPr>
  </w:style>
  <w:style w:styleId="style38" w:type="character">
    <w:name w:val="ListLabel 10"/>
    <w:next w:val="style38"/>
    <w:rPr>
      <w:rFonts w:cs="Courier New"/>
    </w:rPr>
  </w:style>
  <w:style w:styleId="style39" w:type="character">
    <w:name w:val="ListLabel 11"/>
    <w:next w:val="style39"/>
    <w:rPr>
      <w:rFonts w:ascii="Calibri" w:hAnsi="Calibri"/>
      <w:b/>
      <w:sz w:val="24"/>
      <w:szCs w:val="24"/>
    </w:rPr>
  </w:style>
  <w:style w:styleId="style40" w:type="character">
    <w:name w:val="ListLabel 12"/>
    <w:next w:val="style40"/>
    <w:rPr>
      <w:rFonts w:ascii="Calibri" w:hAnsi="Calibri"/>
      <w:b w:val="false"/>
      <w:i w:val="false"/>
      <w:color w:val="00000A"/>
      <w:sz w:val="22"/>
      <w:szCs w:val="22"/>
    </w:rPr>
  </w:style>
  <w:style w:styleId="style41" w:type="character">
    <w:name w:val="ListLabel 13"/>
    <w:next w:val="style41"/>
    <w:rPr>
      <w:rFonts w:cs="Symbol"/>
    </w:rPr>
  </w:style>
  <w:style w:styleId="style42" w:type="character">
    <w:name w:val="ListLabel 14"/>
    <w:next w:val="style42"/>
    <w:rPr>
      <w:b/>
      <w:sz w:val="24"/>
      <w:szCs w:val="24"/>
    </w:rPr>
  </w:style>
  <w:style w:styleId="style43" w:type="character">
    <w:name w:val="ListLabel 15"/>
    <w:next w:val="style43"/>
    <w:rPr>
      <w:b w:val="false"/>
      <w:i w:val="false"/>
      <w:color w:val="00000A"/>
      <w:sz w:val="22"/>
      <w:szCs w:val="22"/>
    </w:rPr>
  </w:style>
  <w:style w:styleId="style44" w:type="character">
    <w:name w:val="ListLabel 16"/>
    <w:next w:val="style44"/>
    <w:rPr>
      <w:b/>
      <w:sz w:val="24"/>
      <w:szCs w:val="24"/>
    </w:rPr>
  </w:style>
  <w:style w:styleId="style45" w:type="character">
    <w:name w:val="ListLabel 17"/>
    <w:next w:val="style45"/>
    <w:rPr>
      <w:b w:val="false"/>
      <w:i w:val="false"/>
      <w:color w:val="00000A"/>
      <w:sz w:val="22"/>
      <w:szCs w:val="22"/>
    </w:rPr>
  </w:style>
  <w:style w:styleId="style46" w:type="character">
    <w:name w:val="ListLabel 18"/>
    <w:next w:val="style46"/>
    <w:rPr>
      <w:b/>
      <w:sz w:val="24"/>
      <w:szCs w:val="24"/>
    </w:rPr>
  </w:style>
  <w:style w:styleId="style47" w:type="character">
    <w:name w:val="ListLabel 19"/>
    <w:next w:val="style47"/>
    <w:rPr>
      <w:b w:val="false"/>
      <w:i w:val="false"/>
      <w:color w:val="00000A"/>
      <w:sz w:val="22"/>
      <w:szCs w:val="22"/>
    </w:rPr>
  </w:style>
  <w:style w:styleId="style48" w:type="character">
    <w:name w:val="ListLabel 20"/>
    <w:next w:val="style48"/>
    <w:rPr>
      <w:b/>
      <w:sz w:val="24"/>
      <w:szCs w:val="24"/>
    </w:rPr>
  </w:style>
  <w:style w:styleId="style49" w:type="character">
    <w:name w:val="ListLabel 21"/>
    <w:next w:val="style49"/>
    <w:rPr>
      <w:b w:val="false"/>
      <w:i w:val="false"/>
      <w:color w:val="00000A"/>
      <w:sz w:val="22"/>
      <w:szCs w:val="22"/>
    </w:rPr>
  </w:style>
  <w:style w:styleId="style50" w:type="character">
    <w:name w:val="ListLabel 22"/>
    <w:next w:val="style50"/>
    <w:rPr>
      <w:b/>
      <w:sz w:val="24"/>
      <w:szCs w:val="24"/>
    </w:rPr>
  </w:style>
  <w:style w:styleId="style51" w:type="character">
    <w:name w:val="ListLabel 23"/>
    <w:next w:val="style51"/>
    <w:rPr>
      <w:b w:val="false"/>
      <w:i w:val="false"/>
      <w:color w:val="00000A"/>
      <w:sz w:val="22"/>
      <w:szCs w:val="22"/>
    </w:rPr>
  </w:style>
  <w:style w:styleId="style52" w:type="character">
    <w:name w:val="ListLabel 24"/>
    <w:next w:val="style52"/>
    <w:rPr>
      <w:b/>
      <w:sz w:val="24"/>
      <w:szCs w:val="24"/>
    </w:rPr>
  </w:style>
  <w:style w:styleId="style53" w:type="character">
    <w:name w:val="ListLabel 25"/>
    <w:next w:val="style53"/>
    <w:rPr>
      <w:b w:val="false"/>
      <w:i w:val="false"/>
      <w:color w:val="00000A"/>
      <w:sz w:val="22"/>
      <w:szCs w:val="22"/>
    </w:rPr>
  </w:style>
  <w:style w:styleId="style54" w:type="character">
    <w:name w:val="ListLabel 26"/>
    <w:next w:val="style54"/>
    <w:rPr>
      <w:b/>
      <w:sz w:val="24"/>
      <w:szCs w:val="24"/>
    </w:rPr>
  </w:style>
  <w:style w:styleId="style55" w:type="character">
    <w:name w:val="ListLabel 27"/>
    <w:next w:val="style55"/>
    <w:rPr>
      <w:b w:val="false"/>
      <w:i w:val="false"/>
      <w:color w:val="00000A"/>
      <w:sz w:val="22"/>
      <w:szCs w:val="22"/>
    </w:rPr>
  </w:style>
  <w:style w:styleId="style56" w:type="character">
    <w:name w:val="ListLabel 28"/>
    <w:next w:val="style56"/>
    <w:rPr>
      <w:b/>
      <w:sz w:val="24"/>
      <w:szCs w:val="24"/>
    </w:rPr>
  </w:style>
  <w:style w:styleId="style57" w:type="character">
    <w:name w:val="ListLabel 29"/>
    <w:next w:val="style57"/>
    <w:rPr>
      <w:b w:val="false"/>
      <w:i w:val="false"/>
      <w:color w:val="00000A"/>
      <w:sz w:val="22"/>
      <w:szCs w:val="22"/>
    </w:rPr>
  </w:style>
  <w:style w:styleId="style58" w:type="character">
    <w:name w:val="ListLabel 30"/>
    <w:next w:val="style58"/>
    <w:rPr>
      <w:b/>
      <w:sz w:val="24"/>
      <w:szCs w:val="24"/>
    </w:rPr>
  </w:style>
  <w:style w:styleId="style59" w:type="character">
    <w:name w:val="ListLabel 31"/>
    <w:next w:val="style59"/>
    <w:rPr>
      <w:b w:val="false"/>
      <w:i w:val="false"/>
      <w:color w:val="00000A"/>
      <w:sz w:val="22"/>
      <w:szCs w:val="22"/>
    </w:rPr>
  </w:style>
  <w:style w:styleId="style60" w:type="character">
    <w:name w:val="ListLabel 32"/>
    <w:next w:val="style60"/>
    <w:rPr>
      <w:b/>
      <w:sz w:val="24"/>
      <w:szCs w:val="24"/>
    </w:rPr>
  </w:style>
  <w:style w:styleId="style61" w:type="character">
    <w:name w:val="ListLabel 33"/>
    <w:next w:val="style61"/>
    <w:rPr>
      <w:b w:val="false"/>
      <w:i w:val="false"/>
      <w:color w:val="00000A"/>
      <w:sz w:val="22"/>
      <w:szCs w:val="22"/>
    </w:rPr>
  </w:style>
  <w:style w:styleId="style62" w:type="character">
    <w:name w:val="ListLabel 34"/>
    <w:next w:val="style62"/>
    <w:rPr>
      <w:b/>
      <w:sz w:val="24"/>
      <w:szCs w:val="24"/>
    </w:rPr>
  </w:style>
  <w:style w:styleId="style63" w:type="character">
    <w:name w:val="ListLabel 35"/>
    <w:next w:val="style63"/>
    <w:rPr>
      <w:b w:val="false"/>
      <w:i w:val="false"/>
      <w:color w:val="00000A"/>
      <w:sz w:val="22"/>
      <w:szCs w:val="22"/>
    </w:rPr>
  </w:style>
  <w:style w:styleId="style64" w:type="paragraph">
    <w:name w:val="Título"/>
    <w:basedOn w:val="style0"/>
    <w:next w:val="style65"/>
    <w:pPr>
      <w:keepNext/>
      <w:spacing w:after="120" w:before="240"/>
      <w:contextualSpacing w:val="false"/>
    </w:pPr>
    <w:rPr>
      <w:rFonts w:ascii="Arial" w:cs="Mangal" w:eastAsia="Microsoft YaHei" w:hAnsi="Arial"/>
      <w:sz w:val="28"/>
      <w:szCs w:val="28"/>
    </w:rPr>
  </w:style>
  <w:style w:styleId="style65" w:type="paragraph">
    <w:name w:val="Corpo do texto"/>
    <w:basedOn w:val="style0"/>
    <w:next w:val="style65"/>
    <w:pPr>
      <w:spacing w:after="120" w:before="0"/>
      <w:contextualSpacing w:val="false"/>
    </w:pPr>
    <w:rPr/>
  </w:style>
  <w:style w:styleId="style66" w:type="paragraph">
    <w:name w:val="Lista"/>
    <w:basedOn w:val="style65"/>
    <w:next w:val="style66"/>
    <w:pPr/>
    <w:rPr>
      <w:rFonts w:cs="Mangal"/>
    </w:rPr>
  </w:style>
  <w:style w:styleId="style67" w:type="paragraph">
    <w:name w:val="Legenda"/>
    <w:basedOn w:val="style0"/>
    <w:next w:val="style67"/>
    <w:pPr>
      <w:suppressLineNumbers/>
      <w:spacing w:after="120" w:before="120"/>
      <w:contextualSpacing w:val="false"/>
    </w:pPr>
    <w:rPr>
      <w:rFonts w:cs="Mangal"/>
      <w:i/>
      <w:iCs/>
      <w:sz w:val="24"/>
      <w:szCs w:val="24"/>
    </w:rPr>
  </w:style>
  <w:style w:styleId="style68" w:type="paragraph">
    <w:name w:val="Índice"/>
    <w:basedOn w:val="style0"/>
    <w:next w:val="style68"/>
    <w:pPr>
      <w:suppressLineNumbers/>
    </w:pPr>
    <w:rPr>
      <w:rFonts w:cs="Mangal"/>
    </w:rPr>
  </w:style>
  <w:style w:styleId="style69" w:type="paragraph">
    <w:name w:val="Lista Colorida - Ênfase 11"/>
    <w:basedOn w:val="style0"/>
    <w:next w:val="style69"/>
    <w:pPr>
      <w:spacing w:after="0" w:before="0"/>
      <w:ind w:hanging="0" w:left="720" w:right="0"/>
      <w:contextualSpacing/>
    </w:pPr>
    <w:rPr/>
  </w:style>
  <w:style w:styleId="style70" w:type="paragraph">
    <w:name w:val="Normal (Web)"/>
    <w:basedOn w:val="style0"/>
    <w:next w:val="style70"/>
    <w:pPr>
      <w:spacing w:after="28" w:before="28"/>
      <w:contextualSpacing w:val="false"/>
    </w:pPr>
    <w:rPr>
      <w:rFonts w:ascii="Times New Roman" w:cs="Times New Roman" w:hAnsi="Times New Roman"/>
    </w:rPr>
  </w:style>
  <w:style w:styleId="style71" w:type="paragraph">
    <w:name w:val="Balloon Text"/>
    <w:basedOn w:val="style0"/>
    <w:next w:val="style71"/>
    <w:pPr/>
    <w:rPr>
      <w:rFonts w:ascii="Tahoma" w:hAnsi="Tahoma"/>
      <w:sz w:val="16"/>
      <w:szCs w:val="16"/>
    </w:rPr>
  </w:style>
  <w:style w:styleId="style72" w:type="paragraph">
    <w:name w:val="Nível 2"/>
    <w:basedOn w:val="style0"/>
    <w:next w:val="style72"/>
    <w:pPr>
      <w:spacing w:after="120" w:before="0"/>
      <w:contextualSpacing w:val="false"/>
      <w:jc w:val="both"/>
    </w:pPr>
    <w:rPr>
      <w:rFonts w:cs="Times New Roman"/>
      <w:b/>
      <w:szCs w:val="20"/>
    </w:rPr>
  </w:style>
  <w:style w:styleId="style73" w:type="paragraph">
    <w:name w:val="Grade Colorida - Ênfase 11"/>
    <w:basedOn w:val="style0"/>
    <w:next w:val="style73"/>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eastAsia="Calibri"/>
      <w:i/>
      <w:iCs/>
      <w:color w:val="000000"/>
      <w:sz w:val="20"/>
      <w:lang w:eastAsia="en-US"/>
    </w:rPr>
  </w:style>
  <w:style w:styleId="style74" w:type="paragraph">
    <w:name w:val="List Bullet 5"/>
    <w:basedOn w:val="style0"/>
    <w:next w:val="style74"/>
    <w:pPr>
      <w:spacing w:after="0" w:before="0"/>
      <w:contextualSpacing/>
    </w:pPr>
    <w:rPr/>
  </w:style>
  <w:style w:styleId="style75" w:type="paragraph">
    <w:name w:val="citação 2"/>
    <w:basedOn w:val="style73"/>
    <w:next w:val="style75"/>
    <w:pPr/>
    <w:rPr>
      <w:szCs w:val="20"/>
    </w:rPr>
  </w:style>
  <w:style w:styleId="style76" w:type="paragraph">
    <w:name w:val="Quote"/>
    <w:basedOn w:val="style0"/>
    <w:next w:val="style76"/>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cs="Times New Roman" w:eastAsia="Calibri"/>
      <w:i/>
      <w:iCs/>
      <w:color w:val="000000"/>
      <w:sz w:val="20"/>
      <w:lang w:eastAsia="en-US" w:val="pt-BR"/>
    </w:rPr>
  </w:style>
  <w:style w:styleId="style77" w:type="paragraph">
    <w:name w:val="Cabeçalho"/>
    <w:basedOn w:val="style0"/>
    <w:next w:val="style77"/>
    <w:pPr>
      <w:tabs>
        <w:tab w:leader="none" w:pos="4252" w:val="center"/>
        <w:tab w:leader="none" w:pos="8504" w:val="right"/>
      </w:tabs>
    </w:pPr>
    <w:rPr/>
  </w:style>
  <w:style w:styleId="style78" w:type="paragraph">
    <w:name w:val="Rodapé"/>
    <w:basedOn w:val="style0"/>
    <w:next w:val="style78"/>
    <w:pPr>
      <w:tabs>
        <w:tab w:leader="none" w:pos="4252" w:val="center"/>
        <w:tab w:leader="none" w:pos="8504" w:val="right"/>
      </w:tabs>
    </w:pPr>
    <w:rPr/>
  </w:style>
  <w:style w:styleId="style79" w:type="paragraph">
    <w:name w:val="List Paragraph"/>
    <w:basedOn w:val="style0"/>
    <w:next w:val="style79"/>
    <w:pPr>
      <w:spacing w:after="0" w:before="0"/>
      <w:ind w:hanging="0" w:left="720" w:right="0"/>
      <w:contextualSpacing/>
    </w:pPr>
    <w:rPr/>
  </w:style>
  <w:style w:styleId="style80" w:type="paragraph">
    <w:name w:val="Nivel1"/>
    <w:basedOn w:val="style1"/>
    <w:next w:val="style80"/>
    <w:pPr>
      <w:spacing w:after="120" w:before="480" w:line="276" w:lineRule="auto"/>
      <w:ind w:hanging="357" w:left="357" w:right="0"/>
      <w:contextualSpacing w:val="false"/>
      <w:jc w:val="both"/>
    </w:pPr>
    <w:rPr>
      <w:rFonts w:ascii="Arial" w:cs="Arial" w:hAnsi="Arial"/>
      <w:b/>
      <w:color w:val="000000"/>
      <w:sz w:val="20"/>
      <w:szCs w:val="20"/>
    </w:rPr>
  </w:style>
  <w:style w:styleId="style81" w:type="paragraph">
    <w:name w:val="annotation text"/>
    <w:basedOn w:val="style0"/>
    <w:next w:val="style81"/>
    <w:pPr/>
    <w:rPr/>
  </w:style>
  <w:style w:styleId="style82" w:type="paragraph">
    <w:name w:val="Conteúdo do quadro"/>
    <w:basedOn w:val="style0"/>
    <w:next w:val="style82"/>
    <w:pPr/>
    <w:rPr/>
  </w:style>
  <w:style w:styleId="style83" w:type="paragraph">
    <w:name w:val="Conteúdo da tabela"/>
    <w:basedOn w:val="style0"/>
    <w:next w:val="style83"/>
    <w:pPr>
      <w:suppressLineNumbers/>
    </w:pPr>
    <w:rPr/>
  </w:style>
  <w:style w:styleId="style84" w:type="paragraph">
    <w:name w:val="Título de tabela"/>
    <w:basedOn w:val="style83"/>
    <w:next w:val="style84"/>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cpl@svc.ifmt.edu.br"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D:\adriano.carrijo\Documents\adriano\GT ONs\Modelos fechados\TR compras.dotx</Template>
  <TotalTime>122</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2013-05-01T13:10:00Z</dcterms:created>
  <dc:creator>Adriano</dc:creator>
  <cp:lastModifiedBy>Manoel Paz e Silva Filho</cp:lastModifiedBy>
  <cp:lastPrinted>2017-08-07T15:13:07Z</cp:lastPrinted>
  <dcterms:modified xsi:type="dcterms:W3CDTF">2016-06-10T16:46:00Z</dcterms:modified>
  <cp:revision>8</cp:revision>
  <dc:title>NOTAS EXPLICATIVAS</dc:title>
</cp:coreProperties>
</file>