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4.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8" w:line="100" w:lineRule="atLeast"/>
        <w:ind w:hanging="79" w:left="660" w:right="510"/>
        <w:contextualSpacing w:val="false"/>
        <w:jc w:val="center"/>
        <w:rPr/>
      </w:pPr>
      <w:r>
        <w:rPr/>
        <w:drawing>
          <wp:inline distB="0" distL="0" distR="0" distT="0">
            <wp:extent cx="735330" cy="78105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735330" cy="781050"/>
                    </a:xfrm>
                    <a:prstGeom prst="rect">
                      <a:avLst/>
                    </a:prstGeom>
                    <a:noFill/>
                    <a:ln w="9525">
                      <a:noFill/>
                      <a:miter lim="800000"/>
                      <a:headEnd/>
                      <a:tailEnd/>
                    </a:ln>
                  </pic:spPr>
                </pic:pic>
              </a:graphicData>
            </a:graphic>
          </wp:inline>
        </w:drawing>
      </w:r>
    </w:p>
    <w:p>
      <w:pPr>
        <w:pStyle w:val="style0"/>
        <w:spacing w:after="0" w:before="8" w:line="100" w:lineRule="atLeast"/>
        <w:ind w:hanging="79" w:left="660" w:right="510"/>
        <w:contextualSpacing w:val="false"/>
        <w:jc w:val="center"/>
        <w:rPr>
          <w:rFonts w:ascii="Calibri" w:cs="Arial" w:hAnsi="Calibri"/>
          <w:b/>
          <w:bCs/>
          <w:color w:val="000000"/>
          <w:spacing w:val="0"/>
          <w:sz w:val="22"/>
          <w:szCs w:val="22"/>
        </w:rPr>
      </w:pPr>
      <w:r>
        <w:rPr>
          <w:rFonts w:ascii="Calibri" w:cs="Arial" w:hAnsi="Calibri"/>
          <w:b/>
          <w:bCs/>
          <w:color w:val="000000"/>
          <w:spacing w:val="0"/>
          <w:sz w:val="22"/>
          <w:szCs w:val="22"/>
        </w:rPr>
        <w:t>SERVIÇO PÚBLICO FEDERAL MINISTÉRIO DA EDUCAÇÃO</w:t>
      </w:r>
    </w:p>
    <w:p>
      <w:pPr>
        <w:pStyle w:val="style0"/>
        <w:spacing w:after="0" w:before="8" w:line="100" w:lineRule="atLeast"/>
        <w:ind w:hanging="79" w:left="660" w:right="510"/>
        <w:contextualSpacing w:val="false"/>
        <w:jc w:val="center"/>
        <w:rPr>
          <w:rFonts w:ascii="Calibri" w:cs="Arial" w:hAnsi="Calibri"/>
          <w:b/>
          <w:bCs/>
          <w:color w:val="000000"/>
          <w:spacing w:val="0"/>
          <w:sz w:val="22"/>
          <w:szCs w:val="22"/>
        </w:rPr>
      </w:pPr>
      <w:r>
        <w:rPr>
          <w:rFonts w:ascii="Calibri" w:cs="Arial" w:hAnsi="Calibri"/>
          <w:b/>
          <w:bCs/>
          <w:color w:val="000000"/>
          <w:spacing w:val="0"/>
          <w:sz w:val="22"/>
          <w:szCs w:val="22"/>
        </w:rPr>
        <w:t>INSTITUTO FEDERAL DE EDUCAÇÃO, CIÊNCIA E TECNOLOGIA DE MATO GROSSO CAMPUS SÃO VICENTE</w:t>
      </w:r>
    </w:p>
    <w:p>
      <w:pPr>
        <w:pStyle w:val="style0"/>
        <w:spacing w:after="0" w:before="8" w:line="100" w:lineRule="atLeast"/>
        <w:ind w:hanging="79" w:left="660" w:right="510"/>
        <w:contextualSpacing w:val="false"/>
        <w:jc w:val="center"/>
        <w:rPr>
          <w:rFonts w:ascii="Calibri" w:cs="Arial" w:hAnsi="Calibri"/>
          <w:b/>
          <w:bCs/>
          <w:color w:val="000000"/>
          <w:spacing w:val="0"/>
          <w:sz w:val="22"/>
          <w:szCs w:val="22"/>
        </w:rPr>
      </w:pPr>
      <w:r>
        <w:rPr>
          <w:rFonts w:ascii="Calibri" w:cs="Arial" w:hAnsi="Calibri"/>
          <w:b/>
          <w:bCs/>
          <w:color w:val="000000"/>
          <w:spacing w:val="0"/>
          <w:sz w:val="22"/>
          <w:szCs w:val="22"/>
        </w:rPr>
        <w:t>COORDENAÇÃO DE LICITAÇÃO</w:t>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color w:val="000000"/>
          <w:sz w:val="22"/>
          <w:szCs w:val="22"/>
        </w:rPr>
      </w:pPr>
      <w:r>
        <w:rPr>
          <w:rFonts w:ascii="Calibri" w:cs="Arial" w:hAnsi="Calibri"/>
          <w:b/>
          <w:bCs/>
          <w:color w:val="000000"/>
          <w:sz w:val="22"/>
          <w:szCs w:val="22"/>
        </w:rPr>
        <w:t>PREGÃO ELETRÔNICO</w:t>
      </w:r>
    </w:p>
    <w:p>
      <w:pPr>
        <w:pStyle w:val="style0"/>
        <w:jc w:val="center"/>
        <w:rPr>
          <w:rFonts w:ascii="Calibri" w:cs="Arial" w:hAnsi="Calibri"/>
          <w:b/>
          <w:bCs/>
          <w:color w:val="000000"/>
          <w:sz w:val="22"/>
          <w:szCs w:val="22"/>
        </w:rPr>
      </w:pPr>
      <w:r>
        <w:rPr>
          <w:rFonts w:ascii="Calibri" w:cs="Arial" w:hAnsi="Calibri"/>
          <w:b/>
          <w:bCs/>
          <w:color w:val="000000"/>
          <w:sz w:val="22"/>
          <w:szCs w:val="22"/>
        </w:rPr>
        <w:t>SISTEMA DE REGISTRO DE PREÇOS</w:t>
      </w:r>
    </w:p>
    <w:p>
      <w:pPr>
        <w:pStyle w:val="style0"/>
        <w:jc w:val="center"/>
        <w:rPr>
          <w:rFonts w:ascii="Calibri" w:cs="Arial" w:hAnsi="Calibri"/>
          <w:b/>
          <w:bCs/>
          <w:i/>
          <w:color w:val="000000"/>
          <w:sz w:val="22"/>
          <w:szCs w:val="22"/>
        </w:rPr>
      </w:pPr>
      <w:r>
        <w:rPr>
          <w:rFonts w:ascii="Calibri" w:cs="Arial" w:hAnsi="Calibri"/>
          <w:b/>
          <w:bCs/>
          <w:i/>
          <w:color w:val="000000"/>
          <w:sz w:val="22"/>
          <w:szCs w:val="22"/>
        </w:rPr>
      </w:r>
    </w:p>
    <w:p>
      <w:pPr>
        <w:pStyle w:val="style0"/>
        <w:jc w:val="center"/>
        <w:rPr>
          <w:rFonts w:ascii="Calibri" w:cs="Arial" w:hAnsi="Calibri"/>
          <w:b/>
          <w:bCs/>
          <w:color w:val="000000"/>
          <w:sz w:val="22"/>
          <w:szCs w:val="22"/>
        </w:rPr>
      </w:pPr>
      <w:r>
        <w:rPr>
          <w:rFonts w:ascii="Calibri" w:cs="Arial" w:hAnsi="Calibri"/>
          <w:b/>
          <w:bCs/>
          <w:color w:val="000000"/>
          <w:sz w:val="22"/>
          <w:szCs w:val="22"/>
        </w:rPr>
        <w:t xml:space="preserve">PREGÃO ELETRÔNICO Nº </w:t>
      </w:r>
      <w:r>
        <w:rPr>
          <w:rFonts w:ascii="Calibri" w:cs="Arial" w:hAnsi="Calibri"/>
          <w:b/>
          <w:bCs/>
          <w:color w:val="000000"/>
          <w:sz w:val="22"/>
          <w:szCs w:val="22"/>
        </w:rPr>
        <w:t>03/2017</w:t>
      </w:r>
    </w:p>
    <w:p>
      <w:pPr>
        <w:pStyle w:val="style0"/>
        <w:jc w:val="center"/>
        <w:rPr>
          <w:rFonts w:ascii="Calibri" w:cs="Arial" w:hAnsi="Calibri"/>
          <w:bCs/>
          <w:color w:val="000000"/>
          <w:sz w:val="22"/>
          <w:szCs w:val="22"/>
        </w:rPr>
      </w:pPr>
      <w:r>
        <w:rPr>
          <w:rFonts w:ascii="Calibri" w:cs="Arial" w:hAnsi="Calibri"/>
          <w:bCs/>
          <w:color w:val="000000"/>
          <w:sz w:val="22"/>
          <w:szCs w:val="22"/>
        </w:rPr>
        <w:t>(Processo Administrativo n.° 23197.028485.2016-17)</w:t>
      </w:r>
    </w:p>
    <w:p>
      <w:pPr>
        <w:pStyle w:val="style0"/>
        <w:jc w:val="center"/>
        <w:rPr>
          <w:rFonts w:ascii="Calibri" w:cs="Arial" w:hAnsi="Calibri"/>
          <w:bCs/>
          <w:color w:val="000000"/>
          <w:sz w:val="22"/>
          <w:szCs w:val="22"/>
        </w:rPr>
      </w:pPr>
      <w:r>
        <w:rPr>
          <w:rFonts w:ascii="Calibri" w:cs="Arial" w:hAnsi="Calibri"/>
          <w:bCs/>
          <w:color w:val="000000"/>
          <w:sz w:val="22"/>
          <w:szCs w:val="22"/>
        </w:rPr>
      </w:r>
    </w:p>
    <w:p>
      <w:pPr>
        <w:pStyle w:val="style0"/>
        <w:spacing w:after="120" w:before="0" w:line="276" w:lineRule="auto"/>
        <w:ind w:firstLine="540" w:left="0" w:right="-30"/>
        <w:contextualSpacing w:val="false"/>
        <w:jc w:val="both"/>
        <w:rPr>
          <w:rFonts w:ascii="Calibri" w:cs="Arial" w:hAnsi="Calibri"/>
          <w:color w:val="000000"/>
          <w:sz w:val="22"/>
          <w:szCs w:val="22"/>
        </w:rPr>
      </w:pPr>
      <w:r>
        <w:rPr>
          <w:rFonts w:ascii="Calibri" w:cs="Arial" w:hAnsi="Calibri"/>
          <w:bCs/>
          <w:color w:val="000000"/>
          <w:sz w:val="20"/>
          <w:szCs w:val="20"/>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w:t>
      </w:r>
      <w:r>
        <w:rPr>
          <w:rFonts w:ascii="Calibri" w:cs="Arial" w:hAnsi="Calibri"/>
          <w:bCs/>
          <w:color w:val="000000"/>
          <w:sz w:val="22"/>
          <w:szCs w:val="22"/>
        </w:rPr>
        <w:t xml:space="preserve">, </w:t>
      </w:r>
      <w:r>
        <w:rPr>
          <w:rFonts w:ascii="Calibri" w:cs="Arial" w:hAnsi="Calibri"/>
          <w:b/>
          <w:bCs/>
          <w:color w:val="000000"/>
          <w:sz w:val="22"/>
          <w:szCs w:val="22"/>
        </w:rPr>
        <w:t>do</w:t>
      </w:r>
      <w:r>
        <w:rPr>
          <w:rFonts w:ascii="Calibri" w:cs="Arial" w:hAnsi="Calibri"/>
          <w:b/>
          <w:color w:val="000000"/>
          <w:sz w:val="22"/>
          <w:szCs w:val="22"/>
        </w:rPr>
        <w:t xml:space="preserve"> </w:t>
      </w:r>
      <w:r>
        <w:rPr>
          <w:rFonts w:ascii="Calibri" w:cs="Arial" w:hAnsi="Calibri"/>
          <w:b/>
          <w:bCs/>
          <w:iCs/>
          <w:color w:val="000000"/>
          <w:sz w:val="22"/>
          <w:szCs w:val="22"/>
        </w:rPr>
        <w:t>tipo menor preço</w:t>
      </w:r>
      <w:r>
        <w:rPr>
          <w:rFonts w:ascii="Calibri" w:cs="Arial" w:hAnsi="Calibri"/>
          <w:b/>
          <w:bCs/>
          <w:color w:val="000000"/>
          <w:sz w:val="22"/>
          <w:szCs w:val="22"/>
        </w:rPr>
        <w:t>,</w:t>
      </w:r>
      <w:r>
        <w:rPr>
          <w:rFonts w:ascii="Calibri" w:cs="Arial" w:hAnsi="Calibri"/>
          <w:color w:val="000000"/>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line="480" w:lineRule="auto"/>
        <w:rPr/>
      </w:pPr>
      <w:r>
        <w:rPr/>
      </w:r>
    </w:p>
    <w:p>
      <w:pPr>
        <w:pStyle w:val="style0"/>
        <w:spacing w:line="480" w:lineRule="auto"/>
        <w:rPr>
          <w:rFonts w:ascii="Arial" w:cs="Arial" w:hAnsi="Arial"/>
          <w:b/>
          <w:bCs/>
          <w:color w:val="000000"/>
          <w:sz w:val="20"/>
          <w:szCs w:val="20"/>
        </w:rPr>
      </w:pPr>
      <w:r>
        <w:rPr>
          <w:rFonts w:ascii="Calibri" w:cs="Arial" w:hAnsi="Calibri"/>
          <w:b/>
          <w:bCs/>
          <w:color w:val="000000"/>
          <w:sz w:val="22"/>
          <w:szCs w:val="22"/>
        </w:rPr>
        <w:t>Data da sessão:</w:t>
      </w:r>
      <w:r>
        <w:rPr>
          <w:rFonts w:ascii="Arial" w:cs="Arial" w:hAnsi="Arial"/>
          <w:b/>
          <w:bCs/>
          <w:color w:val="000000"/>
          <w:sz w:val="20"/>
          <w:szCs w:val="20"/>
        </w:rPr>
        <w:t xml:space="preserve"> </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 xml:space="preserve">Horário: </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i/>
          <w:color w:val="000000"/>
          <w:sz w:val="22"/>
          <w:szCs w:val="22"/>
        </w:rPr>
        <w:t>Aquisição de PÃES, BOLOS E SALGADOS</w:t>
      </w:r>
      <w:r>
        <w:rPr>
          <w:rFonts w:ascii="Calibri" w:cs="Arial" w:hAnsi="Calibri"/>
          <w:b/>
          <w:i/>
          <w:color w:val="000000"/>
          <w:sz w:val="22"/>
          <w:szCs w:val="22"/>
        </w:rPr>
        <w:t>,</w:t>
      </w:r>
      <w:r>
        <w:rPr>
          <w:rFonts w:ascii="Calibri" w:cs="Arial" w:hAnsi="Calibri"/>
          <w:i/>
          <w:color w:val="000000"/>
          <w:sz w:val="22"/>
          <w:szCs w:val="22"/>
        </w:rPr>
        <w:t xml:space="preserve"> conforme condições, quantidades, exigências e estimativas, estabelecidas </w:t>
      </w:r>
      <w:r>
        <w:rPr>
          <w:rFonts w:ascii="Calibri" w:cs="Arial" w:hAnsi="Calibri"/>
          <w:color w:val="000000"/>
          <w:sz w:val="22"/>
          <w:szCs w:val="22"/>
        </w:rPr>
        <w:t>neste Edital e seus anexos.</w:t>
      </w:r>
    </w:p>
    <w:p>
      <w:pPr>
        <w:pStyle w:val="style0"/>
        <w:spacing w:after="120" w:before="120" w:line="276" w:lineRule="auto"/>
        <w:ind w:hanging="0" w:left="425" w:right="0"/>
        <w:contextualSpacing w:val="false"/>
        <w:jc w:val="both"/>
        <w:rPr>
          <w:rFonts w:ascii="Calibri" w:cs="Arial" w:hAnsi="Calibri"/>
          <w:i/>
          <w:color w:val="000000"/>
          <w:sz w:val="22"/>
          <w:szCs w:val="22"/>
        </w:rPr>
      </w:pPr>
      <w:r>
        <w:rPr>
          <w:rFonts w:ascii="Calibri" w:cs="Arial" w:hAnsi="Calibri"/>
          <w:color w:val="000000"/>
          <w:sz w:val="22"/>
          <w:szCs w:val="22"/>
        </w:rPr>
        <w:t xml:space="preserve">1.2 </w:t>
      </w:r>
      <w:r>
        <w:rPr>
          <w:rFonts w:ascii="Calibri" w:cs="Arial" w:hAnsi="Calibri"/>
          <w:i/>
          <w:color w:val="000000"/>
          <w:sz w:val="22"/>
          <w:szCs w:val="22"/>
        </w:rPr>
        <w:t>A licitação será dividida em grupos, formados por um ou mais itens, conforme tabela constante no Termo de Referência, facultando-se ao licitante a participação em quantos grupos forem de seu interesse, devendo oferecer proposta para todos os itens que o compõem.</w:t>
      </w:r>
    </w:p>
    <w:p>
      <w:pPr>
        <w:pStyle w:val="style0"/>
        <w:tabs>
          <w:tab w:leader="none" w:pos="1755" w:val="left"/>
        </w:tabs>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 ADESÃO À ATA DE REGISTRO DE PREÇOS</w:t>
      </w:r>
    </w:p>
    <w:p>
      <w:pPr>
        <w:pStyle w:val="style0"/>
        <w:widowControl/>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b/>
          <w:color w:val="000000"/>
          <w:sz w:val="22"/>
          <w:szCs w:val="22"/>
          <w:lang w:eastAsia="en-US"/>
        </w:rPr>
        <w:t xml:space="preserve"> </w:t>
      </w:r>
      <w:r>
        <w:rPr>
          <w:rFonts w:ascii="Calibri" w:cs="Arial" w:hAnsi="Calibri"/>
          <w:i/>
          <w:color w:val="000000"/>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Após a autorização do órgão gerenciador, o órgão não participante deverá efetivar a contratação solicitada em até noventa dias, observado o prazo de validade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Caberá ao órgão gerenciador autorizar, excepcional e justificadamente, a prorrogação do prazo para efetivação da contratação, respeitado o prazo de vigência da ata, desde que solicitada pelo órgão não participante.</w:t>
      </w:r>
    </w:p>
    <w:p>
      <w:pPr>
        <w:pStyle w:val="style0"/>
        <w:spacing w:after="120" w:before="0" w:line="276" w:lineRule="auto"/>
        <w:ind w:hanging="0" w:left="0" w:right="-15"/>
        <w:contextualSpacing w:val="false"/>
        <w:jc w:val="both"/>
        <w:rPr>
          <w:rFonts w:ascii="Calibri" w:cs="Arial" w:hAnsi="Calibri"/>
          <w:i/>
          <w:color w:val="000000"/>
          <w:sz w:val="22"/>
          <w:szCs w:val="22"/>
        </w:rPr>
      </w:pPr>
      <w:r>
        <w:rPr>
          <w:rFonts w:ascii="Calibri" w:cs="Arial" w:hAnsi="Calibri"/>
          <w: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spacing w:after="120" w:before="120" w:line="276" w:lineRule="auto"/>
        <w:ind w:hanging="0" w:left="425" w:right="0"/>
        <w:contextualSpacing w:val="false"/>
        <w:jc w:val="both"/>
        <w:rPr>
          <w:rFonts w:ascii="Calibri" w:cs="Arial" w:hAnsi="Calibri"/>
          <w:bCs/>
          <w:color w:val="000000"/>
          <w:sz w:val="22"/>
          <w:szCs w:val="22"/>
        </w:rPr>
      </w:pPr>
      <w:r>
        <w:rPr>
          <w:rFonts w:ascii="Calibri" w:cs="Arial" w:hAnsi="Calibri"/>
          <w:bCs/>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DA PARTICIPAÇÃO NO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bCs/>
          <w:color w:val="000000"/>
          <w:sz w:val="22"/>
          <w:szCs w:val="22"/>
        </w:rPr>
        <w:t>Poderão participar deste Pregão interessados cujo ramo de atividade seja compatível com o objeto desta licitação, e que estejam com Credenciamento regular no</w:t>
      </w:r>
      <w:r>
        <w:rPr>
          <w:rFonts w:ascii="Calibri" w:cs="Arial" w:hAnsi="Calibri"/>
          <w:color w:val="000000"/>
          <w:sz w:val="22"/>
          <w:szCs w:val="22"/>
        </w:rPr>
        <w:t xml:space="preserve"> Sistema de Cadastramento Unificado de Fornecedores – SICAF, conforme disposto no §3º do artigo 8º da Instrução Normativa SLTI/MPOG nº 2, de 2010.</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iCs/>
          <w:color w:val="000000"/>
          <w:sz w:val="22"/>
          <w:szCs w:val="22"/>
        </w:rPr>
        <w:t>Em relação aos grupos 02, 03, 04 e 05, a</w:t>
      </w:r>
      <w:r>
        <w:rPr>
          <w:rFonts w:ascii="Calibri" w:cs="Arial" w:hAnsi="Calibri"/>
          <w:bCs/>
          <w:color w:val="000000"/>
          <w:sz w:val="22"/>
          <w:szCs w:val="22"/>
        </w:rPr>
        <w:t xml:space="preserve"> participação é exclusiva a microempresas e empresas de pequeno porte.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interessados:</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Estrangeiros que não tenham representação legal no Brasil com poderes expressos para receber citação e responder administrativa ou judicialmente;</w:t>
      </w:r>
    </w:p>
    <w:p>
      <w:pPr>
        <w:pStyle w:val="style0"/>
        <w:numPr>
          <w:ilvl w:val="2"/>
          <w:numId w:val="1"/>
        </w:numPr>
        <w:spacing w:after="120" w:before="120" w:line="276" w:lineRule="auto"/>
        <w:ind w:hanging="504" w:left="1922" w:right="0"/>
        <w:contextualSpacing w:val="false"/>
        <w:jc w:val="both"/>
        <w:rPr>
          <w:rFonts w:ascii="Calibri" w:cs="Arial" w:eastAsia="Arial Unicode MS" w:hAnsi="Calibri"/>
          <w:color w:val="000000"/>
          <w:sz w:val="22"/>
          <w:szCs w:val="22"/>
        </w:rPr>
      </w:pPr>
      <w:r>
        <w:rPr>
          <w:rFonts w:ascii="Calibri" w:cs="Arial" w:eastAsia="Arial Unicode MS" w:hAnsi="Calibri"/>
          <w:color w:val="000000"/>
          <w:sz w:val="22"/>
          <w:szCs w:val="22"/>
        </w:rPr>
        <w:t>Que se enquadrem nas vedações previstas no artigo 9º da Lei nº 8.666, de 1993;</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Entidades empresariais que estejam reunidas em consórcio;</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rPr>
        <w:t>Como condição para participação no Pregão, a licitante assinalará “sim” ou “não” em campo próprio do sistema eletrônico, relativo às seguintes declarações:</w:t>
      </w:r>
      <w:r>
        <w:rPr>
          <w:rFonts w:ascii="Calibri" w:cs="Arial" w:eastAsia="Zurich BT" w:hAnsi="Calibri"/>
          <w:bCs/>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3"/>
          <w:numId w:val="1"/>
        </w:numPr>
        <w:spacing w:after="120" w:before="120" w:line="276" w:lineRule="auto"/>
        <w:ind w:hanging="648" w:left="1728" w:right="0"/>
        <w:contextualSpacing w:val="false"/>
        <w:jc w:val="both"/>
        <w:rPr>
          <w:rFonts w:ascii="Calibri" w:cs="Arial" w:hAnsi="Calibri"/>
          <w:bCs/>
          <w:color w:val="000000"/>
          <w:sz w:val="22"/>
          <w:szCs w:val="22"/>
        </w:rPr>
      </w:pPr>
      <w:r>
        <w:rPr>
          <w:rFonts w:ascii="Calibri" w:cs="Arial" w:hAnsi="Calibri"/>
          <w:bCs/>
          <w:color w:val="000000"/>
          <w:sz w:val="22"/>
          <w:szCs w:val="22"/>
        </w:rPr>
        <w:t>Nos itens exclusivos a microempresas e empresas de pequeno porte, a assinalação do campo “não” impedirá o prosseguimento no certame;</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Nos itens não exclusivos, a assinalação do campo “não” apenas produzirá o efeito de o licitante não ter direito ao tratamento favorecido previsto na Lei Complementar nº 123, de 2006, mesmo que seja qualificada como microempresa ou empresa de pequeno porte;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1"/>
        </w:numPr>
        <w:spacing w:after="120" w:before="120" w:line="276" w:lineRule="auto"/>
        <w:ind w:hanging="504" w:left="1922" w:right="0"/>
        <w:contextualSpacing w:val="false"/>
        <w:jc w:val="both"/>
        <w:rPr>
          <w:rFonts w:ascii="Calibri" w:cs="Arial" w:eastAsia="Zurich BT"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r>
        <w:rPr>
          <w:rFonts w:ascii="Calibri" w:cs="Arial" w:eastAsia="Zurich BT" w:hAnsi="Calibri"/>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spacing w:after="120" w:before="0" w:line="276" w:lineRule="auto"/>
        <w:ind w:hanging="0" w:left="756"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tabs>
          <w:tab w:leader="none" w:pos="567" w:val="left"/>
        </w:tabs>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i/>
          <w:color w:val="000000"/>
          <w:sz w:val="22"/>
          <w:szCs w:val="22"/>
        </w:rPr>
        <w:t>valor unitário</w:t>
      </w:r>
      <w:r>
        <w:rPr>
          <w:rFonts w:ascii="Calibri" w:cs="Arial" w:hAnsi="Calibri"/>
          <w:bCs/>
          <w:i/>
          <w:i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 xml:space="preserve">Em não havendo quantidade mínima fixada, deverá ser cotada a quantidade total prevista para o item.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1"/>
        </w:numPr>
        <w:tabs>
          <w:tab w:leader="none" w:pos="709" w:val="left"/>
          <w:tab w:leader="none" w:pos="851" w:val="left"/>
        </w:tabs>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0"/>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49"/>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1% (um por cento).</w:t>
      </w:r>
    </w:p>
    <w:p>
      <w:pPr>
        <w:pStyle w:val="style49"/>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49"/>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49"/>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O intervalo entre os lances enviados pelo mesmo licitante não poderá ser inferior a vinte (20) segundos e o intervalo entre lances não poderá ser inferior a três (3) segundos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informados, em tempo real, do valor do menor lance registrado, vedada a identificação do licitante.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lang w:eastAsia="en-US"/>
        </w:rPr>
        <w:t xml:space="preserve">Em relação aos itens não exclusivos a </w:t>
      </w:r>
      <w:r>
        <w:rPr>
          <w:rFonts w:ascii="Calibri" w:cs="Arial" w:hAnsi="Calibri"/>
          <w:bCs/>
          <w:color w:val="000000"/>
          <w:sz w:val="22"/>
          <w:szCs w:val="22"/>
          <w:lang w:eastAsia="en-US"/>
        </w:rPr>
        <w:t>microempresas e empresas de pequeno porte,</w:t>
      </w:r>
      <w:r>
        <w:rPr>
          <w:rFonts w:ascii="Calibri" w:cs="Arial" w:hAnsi="Calibri"/>
          <w:color w:val="000000"/>
          <w:sz w:val="22"/>
          <w:szCs w:val="22"/>
          <w:lang w:eastAsia="en-US"/>
        </w:rPr>
        <w:t xml:space="preserve"> uma vez encerrada a etapa de lances</w:t>
      </w:r>
      <w:r>
        <w:rPr>
          <w:rFonts w:ascii="Calibri" w:cs="Arial" w:eastAsia="Zurich BT" w:hAnsi="Calibri"/>
          <w:bCs/>
          <w:color w:val="000000"/>
          <w:sz w:val="22"/>
          <w:szCs w:val="22"/>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Nessas condições, caso a melhor oferta válida tenha sido apresentada por empresa de maior porte, as propostas de pessoas qualificadas como </w:t>
      </w:r>
      <w:r>
        <w:rPr>
          <w:rFonts w:ascii="Calibri" w:cs="Arial" w:eastAsia="Zurich BT" w:hAnsi="Calibri"/>
          <w:bCs/>
          <w:color w:val="000000"/>
          <w:sz w:val="22"/>
          <w:szCs w:val="22"/>
        </w:rPr>
        <w:t xml:space="preserve">microempresas ou empresas de pequeno porte </w:t>
      </w:r>
      <w:r>
        <w:rPr>
          <w:rFonts w:ascii="Calibri" w:cs="Arial" w:hAnsi="Calibri"/>
          <w:color w:val="000000"/>
          <w:sz w:val="22"/>
          <w:szCs w:val="22"/>
        </w:rPr>
        <w:t>que se encontrarem na faixa de até 5% (cinco por cento) acima da proposta ou lance de menor preço serão consideradas empatadas com a primeira colocada.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Caso a licitante qualificada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 xml:space="preserve">melhor classificada desista ou não se manifeste no prazo estabelecido, serão convocadas as demais licitantes qualificadas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que se encontrem naquele intervalo de 5% (cinco por cento), na ordem de classificação, para o exercício do mesmo direito, no prazo estabelecido no subitem anterior.</w:t>
      </w:r>
    </w:p>
    <w:p>
      <w:pPr>
        <w:pStyle w:val="style49"/>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Quando houver propostas beneficiadas com as margens de preferência em relação ao produto estrangeiro, o critério de desempate será aplicado exclusivamente entre as propostas que fizerem jus às margens de preferência, conforme regulamento.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P</w:t>
      </w:r>
      <w:r>
        <w:rPr>
          <w:rFonts w:ascii="Calibri" w:cs="Arial" w:hAnsi="Calibri"/>
          <w:color w:val="000000"/>
          <w:sz w:val="22"/>
          <w:szCs w:val="22"/>
        </w:rPr>
        <w:t xml:space="preserve">oderá ser estabelecida margem de preferência para bens e serviços produzidos ou prestados por empresas que comprovem cumprimento de reserva de cargos prevista em lei para pessoa com deficiência ou para reabilitado da Previdência Social e que atendam às regras de acessibilidade previstas na legislação.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Encerrada a etapa de lances e depois da verificação de possível empate, o Pregoeiro examinará a proposta classificada em primeiro lugar</w:t>
      </w:r>
      <w:r>
        <w:rPr>
          <w:rFonts w:ascii="Calibri" w:cs="Arial" w:hAnsi="Calibri"/>
          <w:color w:val="000000"/>
          <w:sz w:val="22"/>
          <w:szCs w:val="22"/>
        </w:rPr>
        <w:t xml:space="preserve"> quanto ao preço, a sua exequibilidade, bem como quanto ao cumprimento das especificações do objeto.</w:t>
      </w:r>
    </w:p>
    <w:p>
      <w:pPr>
        <w:pStyle w:val="style0"/>
        <w:numPr>
          <w:ilvl w:val="1"/>
          <w:numId w:val="1"/>
        </w:numPr>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Será desclassificada a proposta ou o lance vencedor com valor superior ao preço máximo fixado ou que apresentar preço manifestamente inexequível.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color w:val="000000"/>
          <w:sz w:val="22"/>
          <w:szCs w:val="22"/>
          <w:lang w:eastAsia="en-US"/>
        </w:rPr>
        <w:t>Nos itens não exclusivos a microempresas, empresas de pequeno porte e sociedades cooperativas, s</w:t>
      </w:r>
      <w:r>
        <w:rPr>
          <w:rFonts w:ascii="Calibri" w:cs="Arial" w:hAnsi="Calibri"/>
          <w:color w:val="000000"/>
          <w:sz w:val="22"/>
          <w:szCs w:val="22"/>
        </w:rPr>
        <w:t xml:space="preserve">empre que a proposta não for aceita, e antes de o pregoeiro passar à subsequente, haverá nova verificação, pelo sistema, da eventual ocorrência do empate ficto, previsto nos artigos </w:t>
      </w:r>
      <w:r>
        <w:rPr>
          <w:rFonts w:ascii="Calibri" w:cs="Arial" w:hAnsi="Calibri"/>
          <w:bCs/>
          <w:color w:val="000000"/>
          <w:sz w:val="22"/>
          <w:szCs w:val="22"/>
        </w:rPr>
        <w:t>44 e 45 da LC nº 123, de 2006, seguindo-se a disciplina antes estabelecida, se for o caso.</w:t>
      </w:r>
    </w:p>
    <w:p>
      <w:pPr>
        <w:pStyle w:val="style0"/>
        <w:numPr>
          <w:ilvl w:val="1"/>
          <w:numId w:val="1"/>
        </w:numPr>
        <w:spacing w:after="120" w:before="0" w:line="276" w:lineRule="auto"/>
        <w:ind w:hanging="432" w:left="1141" w:right="-17"/>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49"/>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49"/>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49"/>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49"/>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III da Instrução Normativa SLTI/MPOG nº 2, de 2010.</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02 </w:t>
      </w:r>
      <w:r>
        <w:rPr>
          <w:rFonts w:ascii="Calibri" w:cs="Arial" w:hAnsi="Calibri"/>
          <w:bCs/>
          <w:color w:val="000000"/>
          <w:sz w:val="22"/>
          <w:szCs w:val="22"/>
        </w:rPr>
        <w:t>(duas)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agricultor familiar: Declaração de Aptidão ao Pronaf – DAP ou DAP-P válida, ou, ainda, outros documentos definidos pelo Ministério do Desenvolvimento Agrário, nos termos do art. 4º, §2º do Decreto n. 7.775, de 2012.</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produtor rural: matrícula no Cadastro Específico do INSS – CEI, que comprove a qualificação como produtor rural pessoa física, nos termos da Instrução Normativa RFB n. 971, de 2009 (arts. 17 a 19 e 165).</w:t>
      </w:r>
    </w:p>
    <w:p>
      <w:pPr>
        <w:pStyle w:val="style49"/>
        <w:numPr>
          <w:ilvl w:val="2"/>
          <w:numId w:val="1"/>
        </w:numPr>
        <w:spacing w:after="120" w:before="120" w:line="276" w:lineRule="auto"/>
        <w:ind w:hanging="504" w:left="1922"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49"/>
        <w:numPr>
          <w:ilvl w:val="1"/>
          <w:numId w:val="1"/>
        </w:numPr>
        <w:tabs>
          <w:tab w:leader="none" w:pos="1440" w:val="left"/>
        </w:tabs>
        <w:spacing w:after="120" w:before="120" w:line="276" w:lineRule="auto"/>
        <w:ind w:hanging="432" w:left="1141"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02 (duas) horas,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49"/>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49"/>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49"/>
        <w:numPr>
          <w:ilvl w:val="2"/>
          <w:numId w:val="2"/>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49"/>
        <w:numPr>
          <w:ilvl w:val="1"/>
          <w:numId w:val="2"/>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0" w:name="_GoBack"/>
      <w:bookmarkEnd w:id="0"/>
      <w:r>
        <w:rPr>
          <w:rFonts w:ascii="Calibri" w:cs="Arial" w:hAnsi="Calibri"/>
          <w:bCs/>
          <w:color w:val="000000"/>
          <w:sz w:val="22"/>
          <w:szCs w:val="22"/>
        </w:rPr>
        <w:t>.</w:t>
      </w:r>
    </w:p>
    <w:p>
      <w:pPr>
        <w:pStyle w:val="style49"/>
        <w:numPr>
          <w:ilvl w:val="1"/>
          <w:numId w:val="2"/>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lang w:eastAsia="en-US"/>
        </w:rPr>
        <w:t xml:space="preserve">Nos itens não exclusivos a microempresas, empresas de pequeno porte e sociedades cooperativas, em havendo inabilitação, haverá nova verificação, pelo sistema, da eventual ocorrência do empate ficto, previsto nos artigos </w:t>
      </w:r>
      <w:r>
        <w:rPr>
          <w:rFonts w:ascii="Calibri" w:cs="Arial" w:hAnsi="Calibri"/>
          <w:bCs/>
          <w:color w:val="000000"/>
          <w:sz w:val="22"/>
          <w:szCs w:val="22"/>
          <w:lang w:eastAsia="en-US"/>
        </w:rPr>
        <w:t>44 e 45 da LC nº 123, de 2006, seguindo-se a disciplina antes estabelecida para aceitação da proposta subsequente.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Da sessão pública do Pregão divulgar-se-á Ata no sistema eletrônico.</w:t>
      </w:r>
    </w:p>
    <w:p>
      <w:pPr>
        <w:pStyle w:val="style0"/>
        <w:numPr>
          <w:ilvl w:val="0"/>
          <w:numId w:val="1"/>
        </w:numPr>
        <w:spacing w:after="120" w:before="120" w:line="276" w:lineRule="auto"/>
        <w:ind w:hanging="432" w:left="1141"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REABERTURA DA SESSÃO PÚBLICA</w:t>
      </w:r>
    </w:p>
    <w:p>
      <w:pPr>
        <w:pStyle w:val="style0"/>
        <w:numPr>
          <w:ilvl w:val="1"/>
          <w:numId w:val="1"/>
        </w:numPr>
        <w:spacing w:after="120" w:before="120" w:line="276" w:lineRule="auto"/>
        <w:ind w:hanging="432" w:left="1141" w:right="0"/>
        <w:contextualSpacing w:val="false"/>
        <w:jc w:val="both"/>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0"/>
        <w:widowControl/>
        <w:numPr>
          <w:ilvl w:val="2"/>
          <w:numId w:val="1"/>
        </w:numPr>
        <w:suppressAutoHyphens w:val="true"/>
        <w:spacing w:after="120" w:before="120" w:line="276" w:lineRule="auto"/>
        <w:ind w:firstLine="308" w:left="1141" w:right="0"/>
        <w:contextualSpacing w:val="false"/>
        <w:jc w:val="both"/>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59"/>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59"/>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59"/>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ou, ainda, fac-símile, de acordo com a fase do procedimento licitatório.</w:t>
      </w:r>
    </w:p>
    <w:p>
      <w:pPr>
        <w:pStyle w:val="style49"/>
        <w:spacing w:after="120" w:before="120" w:line="276" w:lineRule="auto"/>
        <w:ind w:hanging="0" w:left="0"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49"/>
        <w:numPr>
          <w:ilvl w:val="0"/>
          <w:numId w:val="1"/>
        </w:numPr>
        <w:spacing w:after="120" w:before="120" w:line="276" w:lineRule="auto"/>
        <w:ind w:hanging="360" w:left="360"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02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spacing w:after="120" w:before="120" w:line="276" w:lineRule="auto"/>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7"/>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seja(m) assinada(s) no prazo de 05 (cinco) dias, a contar da data de seu recebimento.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spacing w:after="120" w:before="0" w:line="276" w:lineRule="auto"/>
        <w:ind w:hanging="0" w:left="567"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Os critérios de recebimento e aceitação do objeto e de fiscalização estão previstos no Termo de Referência.</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1"/>
        </w:numPr>
        <w:spacing w:after="120" w:before="120" w:line="276" w:lineRule="auto"/>
        <w:ind w:hanging="432" w:left="1141" w:right="0"/>
        <w:contextualSpacing w:val="false"/>
        <w:jc w:val="both"/>
        <w:rPr>
          <w:rFonts w:ascii="Calibri" w:cs="Arial" w:hAnsi="Calibri"/>
          <w:b/>
          <w:color w:val="000000"/>
          <w:sz w:val="22"/>
          <w:szCs w:val="22"/>
        </w:rPr>
      </w:pPr>
      <w:r>
        <w:rPr>
          <w:rFonts w:ascii="Calibri" w:cs="Arial" w:hAnsi="Calibri"/>
          <w:color w:val="000000"/>
          <w:sz w:val="22"/>
          <w:szCs w:val="22"/>
          <w:lang w:eastAsia="en-US"/>
        </w:rPr>
        <w:t xml:space="preserve"> </w:t>
      </w: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spacing w:after="120" w:before="120" w:line="276" w:lineRule="auto"/>
        <w:ind w:hanging="0" w:left="425"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conta-corrente indicados pelo contratado.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49"/>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Nos casos de eventuais atrasos de pagamento, desde que a </w:t>
      </w:r>
      <w:r>
        <w:rPr>
          <w:rFonts w:ascii="Calibri" w:cs="Arial" w:hAnsi="Calibri"/>
          <w:color w:val="000000"/>
          <w:sz w:val="22"/>
          <w:szCs w:val="22"/>
          <w:lang w:eastAsia="en-US"/>
        </w:rPr>
        <w:t>Contratada</w:t>
      </w:r>
      <w:r>
        <w:rPr>
          <w:rFonts w:ascii="Calibri" w:cs="Arial" w:hAnsi="Calibri"/>
          <w:color w:val="000000"/>
          <w:sz w:val="22"/>
          <w:szCs w:val="22"/>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ind w:hanging="0" w:left="425" w:right="0"/>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64"/>
        <w:gridCol w:w="456"/>
        <w:gridCol w:w="1303"/>
        <w:gridCol w:w="5046"/>
      </w:tblGrid>
      <w:tr>
        <w:trPr>
          <w:cantSplit w:val="false"/>
        </w:trPr>
        <w:tc>
          <w:tcPr>
            <w:tcW w:type="dxa" w:w="2264"/>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6"/>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303"/>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46"/>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64"/>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6"/>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303"/>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46"/>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 </w:t>
      </w:r>
      <w:r>
        <w:rPr>
          <w:rFonts w:ascii="Calibri" w:cs="Arial" w:hAnsi="Calibri"/>
          <w:color w:val="000000"/>
          <w:sz w:val="22"/>
          <w:szCs w:val="22"/>
          <w:shd w:fill="FFFFFF" w:val="clear"/>
        </w:rPr>
        <w:t>licitante/adjudicatário que cometer qualquer das infrações discriminadas no subitem anterior ficará sujeito, sem prejuízo da responsabilidade civil e criminal, às seguintes sanções: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2% (dois por cento) sobre o valor estimado do(s) item(s) prejudicado(s) pela conduta do licitante;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autoridade competente, na aplicação das sanções, levará em </w:t>
      </w:r>
      <w:r>
        <w:rPr>
          <w:rFonts w:ascii="Calibri" w:cs="Arial" w:hAnsi="Calibri"/>
          <w:color w:val="000000"/>
          <w:sz w:val="22"/>
          <w:szCs w:val="22"/>
          <w:shd w:fill="FFFFFF" w:val="clear"/>
        </w:rPr>
        <w:t>consideração</w:t>
      </w:r>
      <w:r>
        <w:rPr>
          <w:rFonts w:ascii="Calibri" w:cs="Arial" w:hAnsi="Calibri"/>
          <w:color w:val="000000"/>
          <w:sz w:val="22"/>
          <w:szCs w:val="22"/>
        </w:rPr>
        <w:t xml:space="preserve">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6">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Licitações.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7">
        <w:r>
          <w:rPr>
            <w:rStyle w:val="style20"/>
            <w:rFonts w:ascii="Calibri" w:cs="Arial" w:hAnsi="Calibri"/>
            <w:color w:val="000000"/>
            <w:sz w:val="22"/>
            <w:szCs w:val="22"/>
          </w:rPr>
          <w:t>www.comprasgovernamentais.gob.br</w:t>
        </w:r>
      </w:hyperlink>
      <w:r>
        <w:rPr>
          <w:rFonts w:ascii="Calibri" w:cs="Arial" w:hAnsi="Calibri"/>
          <w:color w:val="000000"/>
          <w:sz w:val="22"/>
          <w:szCs w:val="22"/>
        </w:rPr>
        <w:t xml:space="preserve"> </w:t>
      </w:r>
      <w:hyperlink r:id="rId8">
        <w:r>
          <w:rPr>
            <w:rStyle w:val="style20"/>
            <w:rFonts w:ascii="Calibri" w:cs="Arial" w:hAnsi="Calibri"/>
            <w:color w:val="000000"/>
            <w:sz w:val="22"/>
            <w:szCs w:val="22"/>
          </w:rPr>
          <w:t>www.svc.ifmt.edu.br</w:t>
        </w:r>
      </w:hyperlink>
      <w:r>
        <w:rPr>
          <w:rFonts w:ascii="Calibri" w:cs="Arial" w:hAnsi="Calibri"/>
          <w:color w:val="000000"/>
          <w:sz w:val="22"/>
          <w:szCs w:val="22"/>
        </w:rPr>
        <w:t xml:space="preserve"> e também poderão ser lidos e/ou obtidos no endereço Rodovia BR 364, Km 329 Vila de São Vicente da Serra, Munic´pio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spacing w:after="120" w:before="0" w:line="276" w:lineRule="auto"/>
        <w:ind w:hanging="0" w:left="0" w:right="-15"/>
        <w:contextualSpacing w:val="false"/>
        <w:jc w:val="both"/>
        <w:rPr>
          <w:rFonts w:ascii="Calibri" w:cs="Arial" w:hAnsi="Calibri"/>
          <w:iCs/>
          <w:color w:val="000000"/>
          <w:sz w:val="22"/>
          <w:szCs w:val="22"/>
        </w:rPr>
      </w:pPr>
      <w:r>
        <w:rPr>
          <w:rFonts w:ascii="Calibri" w:cs="Arial" w:hAnsi="Calibri"/>
          <w:iCs/>
          <w:color w:val="000000"/>
          <w:sz w:val="22"/>
          <w:szCs w:val="22"/>
        </w:rPr>
      </w:r>
    </w:p>
    <w:p>
      <w:pPr>
        <w:pStyle w:val="style0"/>
        <w:spacing w:after="120" w:before="0" w:line="276" w:lineRule="auto"/>
        <w:ind w:hanging="0" w:left="360" w:right="0"/>
        <w:contextualSpacing w:val="false"/>
        <w:rPr>
          <w:rFonts w:ascii="Calibri" w:cs="Arial" w:hAnsi="Calibri"/>
          <w:color w:val="000000"/>
          <w:sz w:val="20"/>
          <w:szCs w:val="20"/>
        </w:rPr>
      </w:pPr>
      <w:r>
        <w:rPr>
          <w:rFonts w:ascii="Calibri" w:cs="Arial" w:hAnsi="Calibri"/>
          <w:color w:val="000000"/>
          <w:sz w:val="20"/>
          <w:szCs w:val="20"/>
        </w:rPr>
        <w:t>São Vicente da Serra - MT, 0</w:t>
      </w:r>
      <w:r>
        <w:rPr>
          <w:rFonts w:ascii="Calibri" w:cs="Arial" w:hAnsi="Calibri"/>
          <w:color w:val="000000"/>
          <w:sz w:val="20"/>
          <w:szCs w:val="20"/>
        </w:rPr>
        <w:t>6</w:t>
      </w:r>
      <w:r>
        <w:rPr>
          <w:rFonts w:ascii="Calibri" w:cs="Arial" w:hAnsi="Calibri"/>
          <w:color w:val="000000"/>
          <w:sz w:val="20"/>
          <w:szCs w:val="20"/>
        </w:rPr>
        <w:t xml:space="preserve"> de </w:t>
      </w:r>
      <w:r>
        <w:rPr>
          <w:rFonts w:ascii="Calibri" w:cs="Arial" w:hAnsi="Calibri"/>
          <w:color w:val="000000"/>
          <w:sz w:val="20"/>
          <w:szCs w:val="20"/>
        </w:rPr>
        <w:t>abril</w:t>
      </w:r>
      <w:r>
        <w:rPr>
          <w:rFonts w:ascii="Calibri" w:cs="Arial" w:hAnsi="Calibri"/>
          <w:color w:val="000000"/>
          <w:sz w:val="20"/>
          <w:szCs w:val="20"/>
        </w:rPr>
        <w:t xml:space="preserve"> de 201</w:t>
      </w:r>
      <w:r>
        <w:rPr>
          <w:rFonts w:ascii="Calibri" w:cs="Arial" w:hAnsi="Calibri"/>
          <w:color w:val="000000"/>
          <w:sz w:val="20"/>
          <w:szCs w:val="20"/>
        </w:rPr>
        <w:t>7</w:t>
      </w:r>
      <w:r>
        <w:rPr>
          <w:rFonts w:ascii="Calibri" w:cs="Arial" w:hAnsi="Calibri"/>
          <w:color w:val="000000"/>
          <w:sz w:val="20"/>
          <w:szCs w:val="20"/>
        </w:rPr>
        <w:t>.</w:t>
      </w:r>
    </w:p>
    <w:p>
      <w:pPr>
        <w:pStyle w:val="style0"/>
        <w:spacing w:after="120" w:before="0" w:line="276" w:lineRule="auto"/>
        <w:ind w:firstLine="720" w:left="0" w:right="0"/>
        <w:contextualSpacing w:val="false"/>
        <w:jc w:val="both"/>
        <w:rPr>
          <w:rFonts w:ascii="Calibri" w:cs="Arial" w:hAnsi="Calibri"/>
          <w:color w:val="000000"/>
          <w:sz w:val="20"/>
          <w:szCs w:val="20"/>
        </w:rPr>
      </w:pPr>
      <w:r>
        <w:rPr>
          <w:rFonts w:ascii="Calibri" w:cs="Arial" w:hAnsi="Calibri"/>
          <w:color w:val="000000"/>
          <w:sz w:val="20"/>
          <w:szCs w:val="20"/>
        </w:rPr>
      </w:r>
    </w:p>
    <w:p>
      <w:pPr>
        <w:pStyle w:val="style0"/>
        <w:jc w:val="center"/>
        <w:rPr>
          <w:rFonts w:ascii="Calibri" w:hAnsi="Calibri"/>
          <w:color w:val="000000"/>
        </w:rPr>
      </w:pPr>
      <w:r>
        <w:rPr>
          <w:rFonts w:ascii="Calibri" w:hAnsi="Calibri"/>
          <w:color w:val="000000"/>
        </w:rPr>
      </w:r>
    </w:p>
    <w:p>
      <w:pPr>
        <w:pStyle w:val="style0"/>
        <w:jc w:val="center"/>
        <w:rPr>
          <w:rFonts w:ascii="Calibri" w:hAnsi="Calibri"/>
          <w:color w:val="000000"/>
        </w:rPr>
      </w:pPr>
      <w:r>
        <w:rPr>
          <w:rFonts w:ascii="Calibri" w:hAnsi="Calibri"/>
          <w:color w:val="000000"/>
        </w:rPr>
      </w:r>
    </w:p>
    <w:p>
      <w:pPr>
        <w:pStyle w:val="style0"/>
        <w:jc w:val="center"/>
        <w:rPr>
          <w:rFonts w:ascii="Calibri" w:cs="Arial" w:hAnsi="Calibri"/>
          <w:b/>
          <w:bCs/>
          <w:iCs/>
          <w:color w:val="000000"/>
          <w:sz w:val="20"/>
          <w:szCs w:val="20"/>
        </w:rPr>
      </w:pPr>
      <w:r>
        <w:rPr>
          <w:rFonts w:ascii="Calibri" w:cs="Arial" w:hAnsi="Calibri"/>
          <w:b/>
          <w:bCs/>
          <w:iCs/>
          <w:color w:val="000000"/>
          <w:sz w:val="20"/>
          <w:szCs w:val="20"/>
        </w:rPr>
        <w:t>Amarildo Poletto da Silva</w:t>
      </w:r>
    </w:p>
    <w:p>
      <w:pPr>
        <w:pStyle w:val="style0"/>
        <w:jc w:val="center"/>
        <w:rPr>
          <w:rFonts w:ascii="Calibri" w:cs="Arial" w:hAnsi="Calibri"/>
          <w:b/>
          <w:bCs/>
          <w:iCs/>
          <w:color w:val="000000"/>
          <w:sz w:val="16"/>
          <w:szCs w:val="16"/>
        </w:rPr>
      </w:pPr>
      <w:r>
        <w:rPr>
          <w:rFonts w:ascii="Calibri" w:cs="Arial" w:hAnsi="Calibri"/>
          <w:b/>
          <w:bCs/>
          <w:iCs/>
          <w:color w:val="000000"/>
          <w:sz w:val="16"/>
          <w:szCs w:val="16"/>
        </w:rPr>
        <w:t>Pregoeiro Oficial do IFMT – Campus São Vicente</w:t>
      </w:r>
    </w:p>
    <w:p>
      <w:pPr>
        <w:pStyle w:val="style0"/>
        <w:spacing w:after="120" w:before="0" w:line="276" w:lineRule="auto"/>
        <w:ind w:hanging="0" w:left="360" w:right="-15"/>
        <w:contextualSpacing w:val="false"/>
        <w:jc w:val="center"/>
        <w:rPr/>
      </w:pPr>
      <w:r>
        <w:rPr/>
      </w:r>
    </w:p>
    <w:p>
      <w:pPr>
        <w:pStyle w:val="style0"/>
        <w:rPr/>
      </w:pPr>
      <w:r>
        <w:rPr/>
      </w:r>
    </w:p>
    <w:sectPr>
      <w:footerReference r:id="rId9"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7"/>
      <w:rPr>
        <w:rFonts w:ascii="Times New Roman" w:cs="Times New Roman" w:hAnsi="Times New Roman"/>
      </w:rPr>
    </w:pPr>
    <w:r>
      <w:rPr>
        <w:rFonts w:ascii="Times New Roman" w:cs="Times New Roman" w:hAnsi="Times New Roman"/>
      </w:rPr>
      <w:t>____________________________________________________________________</w:t>
    </w:r>
  </w:p>
  <w:p>
    <w:pPr>
      <w:pStyle w:val="style57"/>
      <w:rPr>
        <w:rFonts w:ascii="Arial" w:cs="Arial" w:hAnsi="Arial"/>
        <w:sz w:val="12"/>
        <w:szCs w:val="12"/>
      </w:rPr>
    </w:pPr>
    <w:r>
      <w:rPr>
        <w:rFonts w:ascii="Arial" w:cs="Arial" w:hAnsi="Arial"/>
        <w:sz w:val="12"/>
        <w:szCs w:val="12"/>
      </w:rPr>
      <w:t>Comissão Permanente de Atualização de Editais da Consultoria-Geral da União</w:t>
    </w:r>
  </w:p>
  <w:p>
    <w:pPr>
      <w:pStyle w:val="style57"/>
      <w:rPr>
        <w:rFonts w:ascii="Arial" w:cs="Arial" w:hAnsi="Arial"/>
        <w:sz w:val="12"/>
        <w:szCs w:val="12"/>
      </w:rPr>
    </w:pPr>
    <w:r>
      <w:rPr>
        <w:rFonts w:ascii="Arial" w:cs="Arial" w:hAnsi="Arial"/>
        <w:sz w:val="12"/>
        <w:szCs w:val="12"/>
      </w:rPr>
      <w:t>Edital modelo para Pregão Eletrônico SRP: Compras - Habilitação Simplificada - Híbrido</w:t>
    </w:r>
  </w:p>
  <w:p>
    <w:pPr>
      <w:pStyle w:val="style57"/>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decimal"/>
      <w:lvlText w:val="%1."/>
      <w:lvlJc w:val="left"/>
      <w:pPr>
        <w:ind w:hanging="360" w:left="360"/>
      </w:pPr>
      <w:rPr>
        <w:b/>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7"/>
  <w:defaultTabStop w:val="567"/>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Heading 1 Char"/>
    <w:basedOn w:val="style15"/>
    <w:next w:val="style26"/>
    <w:rPr>
      <w:rFonts w:ascii="Cambria" w:cs="" w:hAnsi="Cambria"/>
      <w:color w:val="365F91"/>
      <w:sz w:val="32"/>
      <w:szCs w:val="32"/>
    </w:rPr>
  </w:style>
  <w:style w:styleId="style27" w:type="character">
    <w:name w:val="Nivel 01 Char"/>
    <w:basedOn w:val="style15"/>
    <w:next w:val="style27"/>
    <w:rPr>
      <w:rFonts w:ascii="Ecofont_Spranq_eco_Sans" w:cs="" w:hAnsi="Ecofont_Spranq_eco_Sans"/>
      <w:b/>
      <w:bCs/>
      <w:color w:val="000000"/>
    </w:rPr>
  </w:style>
  <w:style w:styleId="style28" w:type="character">
    <w:name w:val="ListLabel 1"/>
    <w:next w:val="style28"/>
    <w:rPr>
      <w:b/>
    </w:rPr>
  </w:style>
  <w:style w:styleId="style29" w:type="character">
    <w:name w:val="ListLabel 2"/>
    <w:next w:val="style29"/>
    <w:rPr>
      <w:rFonts w:cs="Arial"/>
      <w:b w:val="false"/>
      <w:color w:val="00000A"/>
      <w:sz w:val="20"/>
      <w:szCs w:val="20"/>
    </w:rPr>
  </w:style>
  <w:style w:styleId="style30" w:type="character">
    <w:name w:val="ListLabel 3"/>
    <w:next w:val="style30"/>
    <w:rPr>
      <w:b w:val="false"/>
      <w:color w:val="00000A"/>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sz w:val="20"/>
      <w:szCs w:val="20"/>
    </w:rPr>
  </w:style>
  <w:style w:styleId="style38" w:type="character">
    <w:name w:val="ListLabel 11"/>
    <w:next w:val="style38"/>
    <w:rPr>
      <w:b w:val="false"/>
      <w:sz w:val="20"/>
      <w:szCs w:val="20"/>
    </w:rPr>
  </w:style>
  <w:style w:styleId="style39" w:type="character">
    <w:name w:val="ListLabel 12"/>
    <w:next w:val="style39"/>
    <w:rPr>
      <w:b/>
    </w:rPr>
  </w:style>
  <w:style w:styleId="style40" w:type="character">
    <w:name w:val="ListLabel 13"/>
    <w:next w:val="style40"/>
    <w:rPr>
      <w:b w:val="false"/>
      <w:color w:val="00000A"/>
      <w:sz w:val="20"/>
      <w:szCs w:val="20"/>
    </w:rPr>
  </w:style>
  <w:style w:styleId="style41" w:type="character">
    <w:name w:val="ListLabel 14"/>
    <w:next w:val="style41"/>
    <w:rPr>
      <w:rFonts w:cs="Symbol"/>
    </w:rPr>
  </w:style>
  <w:style w:styleId="style42" w:type="character">
    <w:name w:val="ListLabel 15"/>
    <w:next w:val="style42"/>
    <w:rPr>
      <w:b/>
    </w:rPr>
  </w:style>
  <w:style w:styleId="style43" w:type="character">
    <w:name w:val="ListLabel 16"/>
    <w:next w:val="style43"/>
    <w:rPr>
      <w:b w:val="false"/>
      <w:color w:val="00000A"/>
      <w:sz w:val="20"/>
      <w:szCs w:val="20"/>
    </w:rPr>
  </w:style>
  <w:style w:styleId="style44" w:type="paragraph">
    <w:name w:val="Título"/>
    <w:basedOn w:val="style0"/>
    <w:next w:val="style45"/>
    <w:pPr>
      <w:keepNext/>
      <w:spacing w:after="120" w:before="240"/>
      <w:contextualSpacing w:val="false"/>
    </w:pPr>
    <w:rPr>
      <w:rFonts w:ascii="Arial" w:cs="Mangal" w:eastAsia="Microsoft YaHei" w:hAnsi="Arial"/>
      <w:sz w:val="28"/>
      <w:szCs w:val="28"/>
    </w:rPr>
  </w:style>
  <w:style w:styleId="style45" w:type="paragraph">
    <w:name w:val="Corpo do texto"/>
    <w:basedOn w:val="style0"/>
    <w:next w:val="style45"/>
    <w:pPr>
      <w:spacing w:after="120" w:before="0"/>
      <w:contextualSpacing w:val="false"/>
    </w:pPr>
    <w:rPr/>
  </w:style>
  <w:style w:styleId="style46" w:type="paragraph">
    <w:name w:val="Lista"/>
    <w:basedOn w:val="style45"/>
    <w:next w:val="style46"/>
    <w:pPr/>
    <w:rPr>
      <w:rFonts w:cs="Mangal"/>
    </w:rPr>
  </w:style>
  <w:style w:styleId="style47" w:type="paragraph">
    <w:name w:val="Legenda"/>
    <w:basedOn w:val="style0"/>
    <w:next w:val="style47"/>
    <w:pPr>
      <w:suppressLineNumbers/>
      <w:spacing w:after="120" w:before="120"/>
      <w:contextualSpacing w:val="false"/>
    </w:pPr>
    <w:rPr>
      <w:rFonts w:cs="Mangal"/>
      <w:i/>
      <w:iCs/>
      <w:sz w:val="24"/>
      <w:szCs w:val="24"/>
    </w:rPr>
  </w:style>
  <w:style w:styleId="style48" w:type="paragraph">
    <w:name w:val="Índice"/>
    <w:basedOn w:val="style0"/>
    <w:next w:val="style48"/>
    <w:pPr>
      <w:suppressLineNumbers/>
    </w:pPr>
    <w:rPr>
      <w:rFonts w:cs="Mangal"/>
    </w:rPr>
  </w:style>
  <w:style w:styleId="style49" w:type="paragraph">
    <w:name w:val="List Paragraph"/>
    <w:basedOn w:val="style0"/>
    <w:next w:val="style49"/>
    <w:pPr>
      <w:spacing w:after="0" w:before="0"/>
      <w:ind w:hanging="0" w:left="720" w:right="0"/>
      <w:contextualSpacing/>
    </w:pPr>
    <w:rPr/>
  </w:style>
  <w:style w:styleId="style50" w:type="paragraph">
    <w:name w:val="Normal (Web)"/>
    <w:basedOn w:val="style0"/>
    <w:next w:val="style50"/>
    <w:pPr>
      <w:spacing w:after="28" w:before="28"/>
      <w:contextualSpacing w:val="false"/>
    </w:pPr>
    <w:rPr>
      <w:rFonts w:ascii="Times New Roman" w:cs="Times New Roman" w:hAnsi="Times New Roman"/>
    </w:rPr>
  </w:style>
  <w:style w:styleId="style51" w:type="paragraph">
    <w:name w:val="Balloon Text"/>
    <w:basedOn w:val="style0"/>
    <w:next w:val="style51"/>
    <w:pPr/>
    <w:rPr>
      <w:rFonts w:ascii="Tahoma" w:hAnsi="Tahoma"/>
      <w:sz w:val="16"/>
      <w:szCs w:val="16"/>
    </w:rPr>
  </w:style>
  <w:style w:styleId="style52" w:type="paragraph">
    <w:name w:val="Nível 2"/>
    <w:basedOn w:val="style0"/>
    <w:next w:val="style52"/>
    <w:pPr>
      <w:spacing w:after="120" w:before="0"/>
      <w:contextualSpacing w:val="false"/>
      <w:jc w:val="both"/>
    </w:pPr>
    <w:rPr>
      <w:rFonts w:ascii="Arial" w:cs="Times New Roman" w:hAnsi="Arial"/>
      <w:b/>
      <w:szCs w:val="20"/>
    </w:rPr>
  </w:style>
  <w:style w:styleId="style53" w:type="paragraph">
    <w:name w:val="Quote"/>
    <w:basedOn w:val="style0"/>
    <w:next w:val="style53"/>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54" w:type="paragraph">
    <w:name w:val="List Bullet 5"/>
    <w:basedOn w:val="style0"/>
    <w:next w:val="style54"/>
    <w:pPr>
      <w:spacing w:after="0" w:before="0"/>
      <w:contextualSpacing/>
    </w:pPr>
    <w:rPr/>
  </w:style>
  <w:style w:styleId="style55" w:type="paragraph">
    <w:name w:val="citação 2"/>
    <w:basedOn w:val="style53"/>
    <w:next w:val="style55"/>
    <w:pPr/>
    <w:rPr>
      <w:szCs w:val="20"/>
    </w:rPr>
  </w:style>
  <w:style w:styleId="style56" w:type="paragraph">
    <w:name w:val="Cabeçalho"/>
    <w:basedOn w:val="style0"/>
    <w:next w:val="style56"/>
    <w:pPr>
      <w:tabs>
        <w:tab w:leader="none" w:pos="4252" w:val="center"/>
        <w:tab w:leader="none" w:pos="8504" w:val="right"/>
      </w:tabs>
    </w:pPr>
    <w:rPr/>
  </w:style>
  <w:style w:styleId="style57" w:type="paragraph">
    <w:name w:val="Rodapé"/>
    <w:basedOn w:val="style0"/>
    <w:next w:val="style57"/>
    <w:pPr>
      <w:tabs>
        <w:tab w:leader="none" w:pos="4252" w:val="center"/>
        <w:tab w:leader="none" w:pos="8504" w:val="right"/>
      </w:tabs>
    </w:pPr>
    <w:rPr/>
  </w:style>
  <w:style w:styleId="style58" w:type="paragraph">
    <w:name w:val="Nivel1"/>
    <w:basedOn w:val="style1"/>
    <w:next w:val="style58"/>
    <w:pPr>
      <w:spacing w:after="120" w:before="480" w:line="276" w:lineRule="auto"/>
      <w:ind w:hanging="357" w:left="357" w:right="0"/>
      <w:contextualSpacing w:val="false"/>
      <w:jc w:val="both"/>
    </w:pPr>
    <w:rPr>
      <w:rFonts w:ascii="Arial" w:cs="Arial" w:hAnsi="Arial"/>
      <w:b/>
      <w:color w:val="000000"/>
      <w:sz w:val="20"/>
      <w:szCs w:val="20"/>
    </w:rPr>
  </w:style>
  <w:style w:styleId="style59" w:type="paragraph">
    <w:name w:val="Nivel 01"/>
    <w:basedOn w:val="style1"/>
    <w:next w:val="style59"/>
    <w:pPr>
      <w:tabs>
        <w:tab w:leader="none" w:pos="567" w:val="left"/>
      </w:tabs>
      <w:jc w:val="both"/>
    </w:pPr>
    <w:rPr>
      <w:rFonts w:ascii="Ecofont_Spranq_eco_Sans" w:cs="Times New Roman" w:hAnsi="Ecofont_Spranq_eco_Sans"/>
      <w:b/>
      <w:bCs/>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wmf"/><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xxxx@xxxxxx.gov.br" TargetMode="External"/><Relationship Id="rId6" Type="http://schemas.openxmlformats.org/officeDocument/2006/relationships/hyperlink" Target="mailto:cpl@svc.ifmt.edu.br" TargetMode="External"/><Relationship Id="rId7" Type="http://schemas.openxmlformats.org/officeDocument/2006/relationships/hyperlink" Target="http://www.comprasgovernamentais.gob.br/" TargetMode="External"/><Relationship Id="rId8" Type="http://schemas.openxmlformats.org/officeDocument/2006/relationships/hyperlink" Target="http://www.svc.ifmt.edu.br/"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47</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2014-01-21T11:45:00Z</dcterms:created>
  <dc:creator>Adriano</dc:creator>
  <cp:lastModifiedBy>Manoel Filho</cp:lastModifiedBy>
  <cp:lastPrinted>2016-12-09T09:31:36Z</cp:lastPrinted>
  <dcterms:modified xsi:type="dcterms:W3CDTF">2016-01-07T20:12:00Z</dcterms:modified>
  <cp:revision>28</cp:revision>
  <dc:title>NOTAS EXPLICATIVAS</dc:title>
</cp:coreProperties>
</file>